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1930DD" w14:textId="77777777" w:rsidR="00B104C4" w:rsidRPr="00B104C4" w:rsidRDefault="00B104C4" w:rsidP="00B104C4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 w:rsidRPr="00B104C4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Zálohování</w:t>
      </w:r>
    </w:p>
    <w:p w14:paraId="27748ECA" w14:textId="6C05DDFC" w:rsidR="00B104C4" w:rsidRPr="00B104C4" w:rsidRDefault="002D72B1" w:rsidP="00B104C4">
      <w:r>
        <w:t>Zálohování</w:t>
      </w:r>
      <w:r w:rsidR="00B104C4" w:rsidRPr="00B104C4">
        <w:t xml:space="preserve"> je navrženo jako systém D</w:t>
      </w:r>
      <w:r>
        <w:t>2D2T, tedy d</w:t>
      </w:r>
      <w:r w:rsidR="00B104C4" w:rsidRPr="00B104C4">
        <w:t>isk do disku do pásky. Základem je velmi rychlé zálohování do diskového úložiště jako primárního cíle záloh</w:t>
      </w:r>
      <w:r>
        <w:t>.</w:t>
      </w:r>
      <w:r w:rsidR="00B104C4" w:rsidRPr="00B104C4">
        <w:t xml:space="preserve"> </w:t>
      </w:r>
      <w:r>
        <w:t>U</w:t>
      </w:r>
      <w:r w:rsidR="00B104C4" w:rsidRPr="00B104C4">
        <w:t>možňuj</w:t>
      </w:r>
      <w:r>
        <w:t>e</w:t>
      </w:r>
      <w:r w:rsidR="00B104C4" w:rsidRPr="00B104C4">
        <w:t xml:space="preserve"> zajištění efektivního procesu zálohy (rychlost, konzumace kapacity úložiště) i obnovy (objekty zálohy jsou k dispozici okamžitě na discích). Pro zajištění dlouhodobé archivace záloh je jako třetí místo zvolena páska, na kterou dochází pouze ke kopírování záloh.</w:t>
      </w:r>
    </w:p>
    <w:p w14:paraId="3D96A2A4" w14:textId="28855210" w:rsidR="00B104C4" w:rsidRDefault="00B104C4" w:rsidP="00B104C4">
      <w:r w:rsidRPr="00B104C4">
        <w:t>Dodané řešení musí umět tuto technologii využívat bez omezení.</w:t>
      </w:r>
    </w:p>
    <w:p w14:paraId="7BC67865" w14:textId="77777777" w:rsidR="00772DA3" w:rsidRPr="00B91A9C" w:rsidRDefault="00772DA3" w:rsidP="00772DA3">
      <w:pPr>
        <w:pStyle w:val="Nadpis2"/>
      </w:pPr>
      <w:r>
        <w:t>Koncepce</w:t>
      </w:r>
    </w:p>
    <w:p w14:paraId="0805C370" w14:textId="74D8EF25" w:rsidR="00772DA3" w:rsidRDefault="00772DA3" w:rsidP="00772DA3">
      <w:r>
        <w:t>Zálohování je navrženo tak, aby nabízelo maximální efektivitu zálohovacího procesu s přihlédnutím k provozu orientovaném</w:t>
      </w:r>
      <w:r w:rsidR="00514410">
        <w:t>u</w:t>
      </w:r>
      <w:r>
        <w:t xml:space="preserve"> převážně na </w:t>
      </w:r>
      <w:proofErr w:type="spellStart"/>
      <w:r>
        <w:t>virtualizaci</w:t>
      </w:r>
      <w:proofErr w:type="spellEnd"/>
      <w:r>
        <w:t>.</w:t>
      </w:r>
    </w:p>
    <w:p w14:paraId="60276632" w14:textId="2B59DCAE" w:rsidR="00772DA3" w:rsidRDefault="00772DA3" w:rsidP="00772DA3">
      <w:r>
        <w:t xml:space="preserve">Řešení není omezeno na volbu </w:t>
      </w:r>
      <w:proofErr w:type="spellStart"/>
      <w:r>
        <w:t>virtualizačního</w:t>
      </w:r>
      <w:proofErr w:type="spellEnd"/>
      <w:r>
        <w:t xml:space="preserve"> </w:t>
      </w:r>
      <w:proofErr w:type="spellStart"/>
      <w:r>
        <w:t>hypervizoru</w:t>
      </w:r>
      <w:proofErr w:type="spellEnd"/>
      <w:r>
        <w:t xml:space="preserve">, který je v současné době </w:t>
      </w:r>
      <w:proofErr w:type="spellStart"/>
      <w:r>
        <w:t>VMware</w:t>
      </w:r>
      <w:proofErr w:type="spellEnd"/>
      <w:r>
        <w:t>. V budoucnu lze tak do systému zařadit také hosty na platformě Microsoft Hyper-V.</w:t>
      </w:r>
    </w:p>
    <w:p w14:paraId="62886314" w14:textId="77777777" w:rsidR="00772DA3" w:rsidRDefault="00772DA3" w:rsidP="00772DA3">
      <w:r>
        <w:t>Zálohování je současně navrženo tak, aby splňovalo moderní trendy, kdy se postupně opouští systém zálohování přímo na pásky, který je již považován za neefektivní z mnoha důvodů – omezená dostupnost záloh pro obnovu, rychlost záloh apod.</w:t>
      </w:r>
    </w:p>
    <w:p w14:paraId="2DA38BF7" w14:textId="77777777" w:rsidR="00B104C4" w:rsidRPr="00B104C4" w:rsidRDefault="00B104C4" w:rsidP="00B104C4">
      <w:pPr>
        <w:keepNext/>
        <w:keepLines/>
        <w:spacing w:before="40" w:after="0"/>
        <w:outlineLvl w:val="1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 w:rsidRPr="00B104C4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Kabeláž</w:t>
      </w:r>
    </w:p>
    <w:p w14:paraId="763D4ABC" w14:textId="59AEF0C5" w:rsidR="00B104C4" w:rsidRPr="00B104C4" w:rsidRDefault="00B104C4" w:rsidP="00B104C4">
      <w:r w:rsidRPr="00B104C4">
        <w:t xml:space="preserve">Součástí řešení je veškerá kabeláž pro propojení SAN FC a LAN umožňující využití plné dodané přenosové rychlosti a dodané v potřebném množství. Přesné délky požadovaných kabelů budou upřesněny v rámci </w:t>
      </w:r>
      <w:r w:rsidR="00514410">
        <w:t>analýzy</w:t>
      </w:r>
      <w:r w:rsidRPr="00B104C4">
        <w:t>.</w:t>
      </w:r>
    </w:p>
    <w:p w14:paraId="2868FD7E" w14:textId="77777777" w:rsidR="00B104C4" w:rsidRPr="00B104C4" w:rsidRDefault="00B104C4" w:rsidP="00B104C4">
      <w:r w:rsidRPr="00B104C4">
        <w:t>Pokud nějaký kabel vyžaduje zakončení typu SFP nebo SFP+, jsou tyto optické transceivery součástí dodávky na obou stranách připojení.</w:t>
      </w:r>
    </w:p>
    <w:p w14:paraId="5ED19387" w14:textId="77777777" w:rsidR="00B104C4" w:rsidRPr="00B104C4" w:rsidRDefault="00B104C4" w:rsidP="00C44DB7">
      <w:pPr>
        <w:pStyle w:val="Nadpis2"/>
      </w:pPr>
      <w:r w:rsidRPr="00B104C4">
        <w:t>Implementační práce</w:t>
      </w:r>
    </w:p>
    <w:p w14:paraId="29158A32" w14:textId="6D6D9831" w:rsidR="00B104C4" w:rsidRPr="00B104C4" w:rsidRDefault="00B104C4" w:rsidP="00B104C4">
      <w:r w:rsidRPr="00B104C4">
        <w:t>Součástí dodávky jsou dále následující implementační práce:</w:t>
      </w:r>
    </w:p>
    <w:p w14:paraId="0B6A99F4" w14:textId="65F170C4" w:rsidR="00512EA9" w:rsidRPr="00B104C4" w:rsidRDefault="00512EA9" w:rsidP="00512EA9">
      <w:pPr>
        <w:numPr>
          <w:ilvl w:val="0"/>
          <w:numId w:val="3"/>
        </w:numPr>
        <w:contextualSpacing/>
      </w:pPr>
      <w:r>
        <w:t>Popis</w:t>
      </w:r>
      <w:r w:rsidRPr="00B104C4">
        <w:t xml:space="preserve"> </w:t>
      </w:r>
      <w:r>
        <w:t xml:space="preserve">a schéma </w:t>
      </w:r>
      <w:r w:rsidRPr="00B104C4">
        <w:t xml:space="preserve">zálohovacího systému včetně </w:t>
      </w:r>
      <w:r>
        <w:t>komunikačních</w:t>
      </w:r>
      <w:r w:rsidR="00D9770C">
        <w:t xml:space="preserve"> portů </w:t>
      </w:r>
      <w:r>
        <w:t>– součást nabídky,</w:t>
      </w:r>
    </w:p>
    <w:p w14:paraId="371C40B9" w14:textId="2D6553A8" w:rsidR="00512EA9" w:rsidRDefault="002B24A3" w:rsidP="00B104C4">
      <w:pPr>
        <w:numPr>
          <w:ilvl w:val="0"/>
          <w:numId w:val="3"/>
        </w:numPr>
        <w:contextualSpacing/>
      </w:pPr>
      <w:r>
        <w:t>Návrh</w:t>
      </w:r>
      <w:r w:rsidR="00B104C4" w:rsidRPr="00B104C4">
        <w:t xml:space="preserve"> akceptačních </w:t>
      </w:r>
      <w:r>
        <w:t>testů</w:t>
      </w:r>
      <w:r w:rsidR="00B104C4" w:rsidRPr="00B104C4">
        <w:t xml:space="preserve"> </w:t>
      </w:r>
      <w:r w:rsidR="00514410">
        <w:t>– součást</w:t>
      </w:r>
      <w:r w:rsidR="00512EA9">
        <w:t xml:space="preserve"> nabídky,</w:t>
      </w:r>
    </w:p>
    <w:p w14:paraId="3A636613" w14:textId="4C9466C8" w:rsidR="00B104C4" w:rsidRDefault="00512EA9" w:rsidP="00B104C4">
      <w:pPr>
        <w:numPr>
          <w:ilvl w:val="0"/>
          <w:numId w:val="3"/>
        </w:numPr>
        <w:contextualSpacing/>
      </w:pPr>
      <w:r>
        <w:t>N</w:t>
      </w:r>
      <w:r w:rsidR="00516406">
        <w:t>ávrh</w:t>
      </w:r>
      <w:r w:rsidR="00B104C4" w:rsidRPr="00B104C4">
        <w:t xml:space="preserve"> harmonogramu</w:t>
      </w:r>
      <w:r w:rsidR="00516406">
        <w:t xml:space="preserve"> implementace</w:t>
      </w:r>
      <w:r>
        <w:t xml:space="preserve"> – součást nabídky,</w:t>
      </w:r>
    </w:p>
    <w:p w14:paraId="711AF369" w14:textId="6E6BD06D" w:rsidR="009005E7" w:rsidRPr="00B104C4" w:rsidRDefault="00514410" w:rsidP="009005E7">
      <w:pPr>
        <w:numPr>
          <w:ilvl w:val="0"/>
          <w:numId w:val="3"/>
        </w:numPr>
        <w:contextualSpacing/>
      </w:pPr>
      <w:r>
        <w:t>Analýza a vytvoření prováděcí dokumentace</w:t>
      </w:r>
      <w:r w:rsidR="0050199F">
        <w:t>,</w:t>
      </w:r>
    </w:p>
    <w:p w14:paraId="5EF70FAF" w14:textId="3B88751B" w:rsidR="00B104C4" w:rsidRPr="00B104C4" w:rsidRDefault="00B104C4" w:rsidP="00B104C4">
      <w:pPr>
        <w:numPr>
          <w:ilvl w:val="0"/>
          <w:numId w:val="3"/>
        </w:numPr>
        <w:contextualSpacing/>
      </w:pPr>
      <w:r w:rsidRPr="00B104C4">
        <w:t>Insta</w:t>
      </w:r>
      <w:r w:rsidR="00331FF5">
        <w:t xml:space="preserve">lace dodaného hardware do </w:t>
      </w:r>
      <w:proofErr w:type="gramStart"/>
      <w:r w:rsidR="00331FF5">
        <w:t>racku</w:t>
      </w:r>
      <w:proofErr w:type="gramEnd"/>
      <w:r w:rsidR="00512EA9">
        <w:t>,</w:t>
      </w:r>
    </w:p>
    <w:p w14:paraId="4721885C" w14:textId="4DF96776" w:rsidR="00B104C4" w:rsidRPr="00B104C4" w:rsidRDefault="00C66FDB" w:rsidP="00B104C4">
      <w:pPr>
        <w:numPr>
          <w:ilvl w:val="0"/>
          <w:numId w:val="3"/>
        </w:numPr>
        <w:contextualSpacing/>
      </w:pPr>
      <w:r>
        <w:t>Redundantní z</w:t>
      </w:r>
      <w:r w:rsidR="00B104C4" w:rsidRPr="00B104C4">
        <w:t>apojení do napájení</w:t>
      </w:r>
      <w:r w:rsidR="00512EA9">
        <w:t>,</w:t>
      </w:r>
    </w:p>
    <w:p w14:paraId="6C791ED1" w14:textId="32BEB175" w:rsidR="00B104C4" w:rsidRPr="00B104C4" w:rsidRDefault="00C66FDB" w:rsidP="00B104C4">
      <w:pPr>
        <w:numPr>
          <w:ilvl w:val="0"/>
          <w:numId w:val="3"/>
        </w:numPr>
        <w:contextualSpacing/>
      </w:pPr>
      <w:r>
        <w:t>Redundantní z</w:t>
      </w:r>
      <w:r w:rsidR="00B104C4" w:rsidRPr="00B104C4">
        <w:t>apojení do LAN a SAN</w:t>
      </w:r>
      <w:r w:rsidR="00512EA9">
        <w:t>,</w:t>
      </w:r>
    </w:p>
    <w:p w14:paraId="0B4B2A8B" w14:textId="5B3FAA71" w:rsidR="00B104C4" w:rsidRDefault="00B104C4" w:rsidP="00B104C4">
      <w:pPr>
        <w:numPr>
          <w:ilvl w:val="0"/>
          <w:numId w:val="3"/>
        </w:numPr>
        <w:contextualSpacing/>
      </w:pPr>
      <w:r w:rsidRPr="00B104C4">
        <w:t xml:space="preserve">Nastavení a konfigurace </w:t>
      </w:r>
      <w:r w:rsidR="000C1E99">
        <w:t>zálohovacího</w:t>
      </w:r>
      <w:r w:rsidR="008A48FD">
        <w:t xml:space="preserve"> serveru</w:t>
      </w:r>
      <w:r w:rsidR="00512EA9">
        <w:t>,</w:t>
      </w:r>
    </w:p>
    <w:p w14:paraId="0E90664A" w14:textId="6BA3CACB" w:rsidR="008A48FD" w:rsidRDefault="008A48FD" w:rsidP="00B104C4">
      <w:pPr>
        <w:numPr>
          <w:ilvl w:val="0"/>
          <w:numId w:val="3"/>
        </w:numPr>
        <w:contextualSpacing/>
      </w:pPr>
      <w:r>
        <w:t>Instalace a konfigurace zálohovacího software</w:t>
      </w:r>
      <w:r w:rsidR="00512EA9">
        <w:t>,</w:t>
      </w:r>
    </w:p>
    <w:p w14:paraId="022A0FEC" w14:textId="37E3CD92" w:rsidR="00B104C4" w:rsidRPr="00B104C4" w:rsidRDefault="00B104C4" w:rsidP="00B104C4">
      <w:pPr>
        <w:numPr>
          <w:ilvl w:val="0"/>
          <w:numId w:val="3"/>
        </w:numPr>
        <w:contextualSpacing/>
      </w:pPr>
      <w:r w:rsidRPr="00B104C4">
        <w:t>Konfigurace zálohovacích politik</w:t>
      </w:r>
      <w:r w:rsidR="00512EA9">
        <w:t>,</w:t>
      </w:r>
    </w:p>
    <w:p w14:paraId="51C35448" w14:textId="747C5D5C" w:rsidR="008A48FD" w:rsidRDefault="008A48FD" w:rsidP="00B104C4">
      <w:pPr>
        <w:numPr>
          <w:ilvl w:val="0"/>
          <w:numId w:val="3"/>
        </w:numPr>
        <w:contextualSpacing/>
      </w:pPr>
      <w:r>
        <w:t>Testovací provoz dodaného řešení v rozsahu 3 týdnů</w:t>
      </w:r>
      <w:r w:rsidR="00512EA9">
        <w:t>,</w:t>
      </w:r>
    </w:p>
    <w:p w14:paraId="085B48FD" w14:textId="77777777" w:rsidR="0050199F" w:rsidRDefault="0050199F" w:rsidP="0050199F">
      <w:pPr>
        <w:numPr>
          <w:ilvl w:val="0"/>
          <w:numId w:val="3"/>
        </w:numPr>
        <w:contextualSpacing/>
      </w:pPr>
      <w:r>
        <w:t>Zaškolení v rozsahu 1 dne,</w:t>
      </w:r>
    </w:p>
    <w:p w14:paraId="22B18689" w14:textId="45F21CAB" w:rsidR="00B104C4" w:rsidRDefault="00516406" w:rsidP="00B104C4">
      <w:pPr>
        <w:numPr>
          <w:ilvl w:val="0"/>
          <w:numId w:val="3"/>
        </w:numPr>
        <w:contextualSpacing/>
      </w:pPr>
      <w:r>
        <w:t>Provedení a</w:t>
      </w:r>
      <w:r w:rsidR="00B104C4" w:rsidRPr="00B104C4">
        <w:t>kceptační</w:t>
      </w:r>
      <w:r>
        <w:t>ch</w:t>
      </w:r>
      <w:r w:rsidR="00B104C4" w:rsidRPr="00B104C4">
        <w:t xml:space="preserve"> test</w:t>
      </w:r>
      <w:r>
        <w:t>ů</w:t>
      </w:r>
      <w:r w:rsidR="00B104C4" w:rsidRPr="00B104C4">
        <w:t xml:space="preserve"> </w:t>
      </w:r>
      <w:r w:rsidR="008A48FD">
        <w:t xml:space="preserve">včetně </w:t>
      </w:r>
      <w:r>
        <w:t>obnovy po havárii</w:t>
      </w:r>
      <w:r w:rsidR="00512EA9">
        <w:t>,</w:t>
      </w:r>
    </w:p>
    <w:p w14:paraId="4275E798" w14:textId="16C514A3" w:rsidR="008A48FD" w:rsidRDefault="008A48FD" w:rsidP="008A48FD">
      <w:pPr>
        <w:numPr>
          <w:ilvl w:val="0"/>
          <w:numId w:val="3"/>
        </w:numPr>
        <w:contextualSpacing/>
      </w:pPr>
      <w:r>
        <w:t>Dokumentace skutečného stavu</w:t>
      </w:r>
      <w:r w:rsidR="00512EA9">
        <w:t>,</w:t>
      </w:r>
    </w:p>
    <w:p w14:paraId="1D212F3D" w14:textId="2E2370A4" w:rsidR="00B104C4" w:rsidRPr="00B104C4" w:rsidRDefault="008A48FD" w:rsidP="008A48FD">
      <w:pPr>
        <w:numPr>
          <w:ilvl w:val="0"/>
          <w:numId w:val="3"/>
        </w:numPr>
        <w:contextualSpacing/>
      </w:pPr>
      <w:r>
        <w:t>Předání do rutinního provozu</w:t>
      </w:r>
      <w:r w:rsidR="00512EA9">
        <w:t>.</w:t>
      </w:r>
    </w:p>
    <w:p w14:paraId="0EDF3D2B" w14:textId="1A0391F0" w:rsidR="00093130" w:rsidRDefault="00093130" w:rsidP="00693989"/>
    <w:p w14:paraId="4CE47BFA" w14:textId="58765D03" w:rsidR="000D787C" w:rsidRDefault="000D787C" w:rsidP="000D787C">
      <w:pPr>
        <w:pStyle w:val="Nadpis2"/>
      </w:pPr>
      <w:r>
        <w:lastRenderedPageBreak/>
        <w:t>Dostupnost</w:t>
      </w:r>
    </w:p>
    <w:p w14:paraId="7474FBC3" w14:textId="59C8C505" w:rsidR="000D787C" w:rsidRDefault="00CA3D41" w:rsidP="00693989">
      <w:r>
        <w:t>Zálohovac</w:t>
      </w:r>
      <w:r w:rsidR="00DA4ED9">
        <w:t>í řešení není řešeno</w:t>
      </w:r>
      <w:r>
        <w:t xml:space="preserve"> s plnou dostupností. Počítá se zde s možností krátkodobého výpadku zálohování. </w:t>
      </w:r>
      <w:r w:rsidR="00DA4ED9">
        <w:t xml:space="preserve">V případě dlouhodobé ztráty lokality </w:t>
      </w:r>
      <w:r w:rsidR="00512EA9">
        <w:t>musí být možné</w:t>
      </w:r>
      <w:r w:rsidR="00DA4ED9">
        <w:t xml:space="preserve"> zálohovací řešení přestěhovat do zbylé lokality.</w:t>
      </w:r>
      <w:r w:rsidR="000D787C">
        <w:t xml:space="preserve"> Navržené řešení </w:t>
      </w:r>
      <w:r w:rsidR="00512EA9">
        <w:t>musí být</w:t>
      </w:r>
      <w:r w:rsidR="000D787C">
        <w:t xml:space="preserve"> připraveno na rozšíření, které nabídne vysokou dostupnost.</w:t>
      </w:r>
    </w:p>
    <w:p w14:paraId="03D9F746" w14:textId="7B67278C" w:rsidR="005D1F28" w:rsidRDefault="00512EA9" w:rsidP="00693989">
      <w:r>
        <w:t xml:space="preserve">Požadované </w:t>
      </w:r>
      <w:r w:rsidR="005D1F28">
        <w:t xml:space="preserve">SLA </w:t>
      </w:r>
      <w:r>
        <w:t xml:space="preserve">celého zálohovacího řešení je </w:t>
      </w:r>
      <w:r w:rsidR="005D1F28">
        <w:t>9</w:t>
      </w:r>
      <w:r>
        <w:t>8</w:t>
      </w:r>
      <w:r w:rsidR="005D1F28">
        <w:t xml:space="preserve"> %</w:t>
      </w:r>
      <w:r>
        <w:t xml:space="preserve"> ročně. Lhůta začíná běžet v momentě oznámení nefunkčnosti systému podpoře</w:t>
      </w:r>
      <w:r w:rsidR="00FD2EDF">
        <w:t xml:space="preserve"> dodavatele</w:t>
      </w:r>
      <w:r>
        <w:t>.</w:t>
      </w:r>
    </w:p>
    <w:p w14:paraId="1399C011" w14:textId="0F768FAE" w:rsidR="00FC15A7" w:rsidRDefault="00FC15A7" w:rsidP="00FC15A7">
      <w:pPr>
        <w:pStyle w:val="Nadpis2"/>
      </w:pPr>
      <w:r>
        <w:t>Zálohovací server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4"/>
        <w:gridCol w:w="4521"/>
        <w:gridCol w:w="1038"/>
        <w:gridCol w:w="1241"/>
        <w:gridCol w:w="1178"/>
      </w:tblGrid>
      <w:tr w:rsidR="00B63F86" w:rsidRPr="00B63F86" w14:paraId="0C43731A" w14:textId="1AC31713" w:rsidTr="0019609B">
        <w:trPr>
          <w:trHeight w:val="102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7469B" w14:textId="1989213D" w:rsidR="00B63F86" w:rsidRPr="00B63F86" w:rsidRDefault="00B63F86" w:rsidP="00B63F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Požadované vlastnosti zařízení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C6946" w14:textId="3CCCD277" w:rsidR="00B63F86" w:rsidRPr="00B63F86" w:rsidRDefault="00B63F86" w:rsidP="00B63F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Splnění požadavku (Ano/Ne)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F6869" w14:textId="2246D907" w:rsidR="00B63F86" w:rsidRPr="00B63F86" w:rsidRDefault="00B63F86" w:rsidP="00B63F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Pokyny pro uvedení technických parametrů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57703" w14:textId="1300A4E8" w:rsidR="00B63F86" w:rsidRPr="00B63F86" w:rsidRDefault="00B63F86" w:rsidP="00B63F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Technické parametry nabízeného řešení (vyplňte podle pokynů ve sloupci "Pokyny pro uvedení technických parametrů")</w:t>
            </w:r>
          </w:p>
        </w:tc>
      </w:tr>
      <w:tr w:rsidR="00B63F86" w:rsidRPr="00B63F86" w14:paraId="026AEC6E" w14:textId="7DBD6F46" w:rsidTr="00506DAF">
        <w:trPr>
          <w:trHeight w:val="51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A36B17" w14:textId="4958EF9F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Přesné typové označení nabízeného zařízení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FFF24" w14:textId="73ED77AE" w:rsidR="00B63F86" w:rsidRPr="00B63F86" w:rsidRDefault="00B63F86" w:rsidP="00B63F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X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BBAE0" w14:textId="656AFEDF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Uveďte značku a přesné typové označení nabízeného zařízení, případně jeho částí.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613D296C" w14:textId="54C0A66C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B63F86" w:rsidRPr="00B63F86" w14:paraId="7E4E62F3" w14:textId="7CBE4282" w:rsidTr="002A3E9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CE36B" w14:textId="6762BBCD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Počet ks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D6733" w14:textId="51CB8C8D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14:paraId="415CEC83" w14:textId="08DBD857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A4764" w14:textId="75073048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18D16" w14:textId="2FD44094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B63F86" w:rsidRPr="00B63F86" w14:paraId="27467AEA" w14:textId="64686E66" w:rsidTr="002A3E9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6FBF1" w14:textId="2A0A5FC7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Formát zařízení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C032C" w14:textId="6B091428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19" RACK provedení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14:paraId="62C298C8" w14:textId="56572B94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C1CC7" w14:textId="692FC014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8DC40" w14:textId="67E8AE02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B63F86" w:rsidRPr="00B63F86" w14:paraId="6F3A19A1" w14:textId="0369B1E5" w:rsidTr="002A3E94">
        <w:trPr>
          <w:trHeight w:val="15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619A1" w14:textId="15601992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Kategorie zařízení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21F49" w14:textId="6839E326" w:rsidR="00B63F86" w:rsidRPr="00B63F86" w:rsidRDefault="00B63F86" w:rsidP="00933D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Server v provedení RACK (šíře 19”), barevně označené hot-</w:t>
            </w:r>
            <w:proofErr w:type="spellStart"/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plug</w:t>
            </w:r>
            <w:proofErr w:type="spellEnd"/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vnitřní komponenty, pro přístup ke všem komponentám serveru není nutné nářadí, zásuvné kolejnice pro instalaci do </w:t>
            </w:r>
            <w:proofErr w:type="gramStart"/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racku</w:t>
            </w:r>
            <w:proofErr w:type="gramEnd"/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s výklopným, nebo výsuvným ramenem pro vedení kabelů. Server musí být vybaven redundantním napájením a s předozadním chlazením s dostatečným výkonem pro jeho plné osazení.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0271FA3" w14:textId="32EE71E6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5B49D" w14:textId="0094570E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EC361" w14:textId="55DC6709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B63F86" w:rsidRPr="00B63F86" w14:paraId="4C9EC8B0" w14:textId="3AF5F509" w:rsidTr="002A3E94">
        <w:trPr>
          <w:trHeight w:val="7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63AF0" w14:textId="08DA532B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CPU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FCFFE" w14:textId="59297E2B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Požadujeme </w:t>
            </w:r>
            <w:proofErr w:type="spellStart"/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dvousocketový</w:t>
            </w:r>
            <w:proofErr w:type="spellEnd"/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server osazený dvěma CPU, každého s počtem 8 jader. </w:t>
            </w:r>
            <w:proofErr w:type="gramStart"/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CPU musí</w:t>
            </w:r>
            <w:proofErr w:type="gramEnd"/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dosahovat hodnocení 11 800 bodů ve výsledcích publikovaných na: </w:t>
            </w:r>
            <w:hyperlink r:id="rId9" w:history="1">
              <w:r w:rsidR="00506DAF" w:rsidRPr="00510F09">
                <w:rPr>
                  <w:rStyle w:val="Hypertextovodkaz"/>
                  <w:rFonts w:ascii="Calibri" w:eastAsia="Times New Roman" w:hAnsi="Calibri" w:cs="Calibri"/>
                  <w:sz w:val="20"/>
                  <w:szCs w:val="20"/>
                  <w:lang w:eastAsia="cs-CZ"/>
                </w:rPr>
                <w:t>https://www.cpubenchmark.net/high_end_cpus.html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3A1B3610" w14:textId="2825AFFF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5E824" w14:textId="48DD9BAF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Uveďte označení procesoru a výsledek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34D78F3C" w14:textId="78AA5E70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B63F86" w:rsidRPr="00B63F86" w14:paraId="14FDBA96" w14:textId="465BAA29" w:rsidTr="00B158EB">
        <w:trPr>
          <w:trHeight w:val="129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5E441" w14:textId="08C627F9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Disky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23CB2" w14:textId="347377B5" w:rsidR="00B63F86" w:rsidRPr="00B63F86" w:rsidRDefault="00B63F86" w:rsidP="00945BC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Server musí být vybaven </w:t>
            </w:r>
            <w:proofErr w:type="spellStart"/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min</w:t>
            </w:r>
            <w:r w:rsidR="00945BCD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inimálně</w:t>
            </w:r>
            <w:proofErr w:type="spellEnd"/>
            <w:r w:rsidR="00945BCD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</w:t>
            </w: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2</w:t>
            </w:r>
            <w:r w:rsidR="00945BCD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shodnými</w:t>
            </w: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</w:t>
            </w:r>
            <w:r w:rsidR="00945BCD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disky </w:t>
            </w: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SSD</w:t>
            </w:r>
            <w:r w:rsidR="002A3E94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, každý</w:t>
            </w: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s kapacitou alespoň 960GB. Disky musí být typu SAS nebo SATA s HW RAID1 prostřednictvím řadiče a splňovat odolnost na úrovni DWPD = min. 3. Disky musí být typu </w:t>
            </w:r>
            <w:proofErr w:type="spellStart"/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hotswap</w:t>
            </w:r>
            <w:proofErr w:type="spellEnd"/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, pří</w:t>
            </w:r>
            <w:r w:rsidR="00933D0B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stupné z přední strany serveru.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362F6384" w14:textId="078B5F4D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98A2E" w14:textId="2D166422" w:rsidR="00B63F86" w:rsidRPr="00B63F86" w:rsidRDefault="00B63F86" w:rsidP="00933D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Uveďte popis řešení, poč</w:t>
            </w:r>
            <w:r w:rsidR="00933D0B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et, kapacitu a typ disků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3006EEA3" w14:textId="10EF45F6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33D0B" w:rsidRPr="00B63F86" w14:paraId="35806F6F" w14:textId="77777777" w:rsidTr="00155F96">
        <w:trPr>
          <w:trHeight w:val="129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B04E13" w14:textId="77777777" w:rsidR="00933D0B" w:rsidRPr="00B63F86" w:rsidRDefault="00933D0B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FD6EA" w14:textId="688C20D4" w:rsidR="00933D0B" w:rsidRPr="00B63F86" w:rsidRDefault="00933D0B" w:rsidP="00CE6C9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Server musí být vybaven min</w:t>
            </w:r>
            <w:r w:rsidR="00945BCD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imálně </w:t>
            </w:r>
            <w:bookmarkStart w:id="0" w:name="_GoBack"/>
            <w:bookmarkEnd w:id="0"/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2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2</w:t>
            </w:r>
            <w:r w:rsidR="00945BCD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shodnými disky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HDD</w:t>
            </w:r>
            <w:r w:rsidR="002A3E94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, každý</w:t>
            </w: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s kapacitou alespoň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</w:t>
            </w: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0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T</w:t>
            </w: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B. Disky musí být typu SAS nebo SATA. Disky musí být typu </w:t>
            </w:r>
            <w:proofErr w:type="spellStart"/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hotswap</w:t>
            </w:r>
            <w:proofErr w:type="spellEnd"/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, pří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stupné z přední strany serveru.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14:paraId="7BD4A8B2" w14:textId="77777777" w:rsidR="00933D0B" w:rsidRPr="00B63F86" w:rsidRDefault="00933D0B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89EC4" w14:textId="658F45B6" w:rsidR="00933D0B" w:rsidRPr="00B63F86" w:rsidRDefault="00933D0B" w:rsidP="00933D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Uveďte popis řešení, počet, kapacitu a typ disků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6ACF8078" w14:textId="77777777" w:rsidR="00933D0B" w:rsidRPr="00B63F86" w:rsidRDefault="00933D0B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B63F86" w:rsidRPr="00B63F86" w14:paraId="64CF1997" w14:textId="14EF1FC9" w:rsidTr="00B158EB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BB806" w14:textId="459BBEC9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Řadič disků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FAC79" w14:textId="02F30156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Server musí disponovat řadičem disků s minimální kapacitou </w:t>
            </w:r>
            <w:proofErr w:type="spellStart"/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cache</w:t>
            </w:r>
            <w:proofErr w:type="spellEnd"/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2GB. Řadič musí podporovat minimálně RAID0, 1, 10, 5, 50, 6, 60.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8888630" w14:textId="3F86EB54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085F3" w14:textId="35FEBA01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FA30D" w14:textId="08328398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B63F86" w:rsidRPr="00B63F86" w14:paraId="1C26DFD1" w14:textId="52858C8D" w:rsidTr="00B158EB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596F6" w14:textId="34A31306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Operační paměť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D44CA" w14:textId="49164004" w:rsidR="00B63F86" w:rsidRPr="00B63F86" w:rsidRDefault="00B63F86" w:rsidP="00E51C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Server musí disponovat min. 24x DIMM slot. Požadujeme osazení 4x </w:t>
            </w:r>
            <w:r w:rsidR="00E51CD0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32</w:t>
            </w: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GB RDIMM, DDR4, 2666MT/s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254E91B" w14:textId="04FE8865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F5DB2" w14:textId="33C33135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A2193" w14:textId="62437FAA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B63F86" w:rsidRPr="00B63F86" w14:paraId="771ADF8B" w14:textId="148F756A" w:rsidTr="00B158EB">
        <w:trPr>
          <w:trHeight w:val="78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51F7B" w14:textId="686DD75C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IO porty - LAN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58142" w14:textId="3FB82FB9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Server musí být vybaven min. dvěma 10GbE SFP+ porty typu "LAN on motherboard" (</w:t>
            </w:r>
            <w:proofErr w:type="spellStart"/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nazabírající</w:t>
            </w:r>
            <w:proofErr w:type="spellEnd"/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volné PCI-E Sloty) s možností budoucí výměny za jiný typ </w:t>
            </w:r>
            <w:proofErr w:type="spellStart"/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ethernet</w:t>
            </w:r>
            <w:proofErr w:type="spellEnd"/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portů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14:paraId="1AEC9712" w14:textId="180BB03D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C5C11" w14:textId="1374DA72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4B970" w14:textId="04ED096E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</w:tr>
      <w:tr w:rsidR="00B63F86" w:rsidRPr="00B63F86" w14:paraId="0EA17627" w14:textId="7DFDDDC1" w:rsidTr="00B158EB">
        <w:trPr>
          <w:trHeight w:val="5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FEC561" w14:textId="5E981CAD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6EF6F" w14:textId="00FE667B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Dále dvěma 1000Base-T porty typu "LAN on motherboard" (</w:t>
            </w:r>
            <w:proofErr w:type="spellStart"/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nazabírající</w:t>
            </w:r>
            <w:proofErr w:type="spellEnd"/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volné PCI-E Sloty) s možností budoucí výměny za jiný typ </w:t>
            </w:r>
            <w:proofErr w:type="spellStart"/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ethernet</w:t>
            </w:r>
            <w:proofErr w:type="spellEnd"/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portů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14:paraId="1A7C3CF5" w14:textId="3AAE2931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B4F5C" w14:textId="466F1298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0336C" w14:textId="2E2935B3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</w:tr>
      <w:tr w:rsidR="00B63F86" w:rsidRPr="00B63F86" w14:paraId="5F09A897" w14:textId="4E069B34" w:rsidTr="00B158EB">
        <w:trPr>
          <w:trHeight w:val="5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3E6752" w14:textId="0F312B21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E949F" w14:textId="5EDDD536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Jednou separátní kartou se dvěma 10GbE porty SFP+ do PCI-E slotu se stejnou čipovou sadou jako jsou 10GbE LOM porty výše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14:paraId="06687DD1" w14:textId="7F495CA5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F7DAF" w14:textId="3C741297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59CB4" w14:textId="4BF9ED04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</w:tr>
      <w:tr w:rsidR="00B63F86" w:rsidRPr="00B63F86" w14:paraId="75EBFD2C" w14:textId="708C0A4E" w:rsidTr="00B158EB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584CC" w14:textId="6E7CF12E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IO porty - FC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434B7" w14:textId="1E3B2503" w:rsidR="00B63F86" w:rsidRPr="00B63F86" w:rsidRDefault="00B63F86" w:rsidP="00BB36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Požadujeme vybavení </w:t>
            </w:r>
            <w:r w:rsidR="00BB36BF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dvěma</w:t>
            </w: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jednoportovými FC16 HBA (</w:t>
            </w:r>
            <w:proofErr w:type="spellStart"/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dual</w:t>
            </w:r>
            <w:proofErr w:type="spellEnd"/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-port se nepřipouští), osazené MMF optickými moduly s konektory typu LC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14:paraId="49372992" w14:textId="300BE96B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29EC1" w14:textId="54066F5C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12E59" w14:textId="15EAECD3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</w:tr>
      <w:tr w:rsidR="00B63F86" w:rsidRPr="00B63F86" w14:paraId="34585F59" w14:textId="69D6BED4" w:rsidTr="00B158EB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C701A" w14:textId="47744041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PCI-E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57DAB" w14:textId="7CF52FC5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Server po osazení všemi LAN, řadiči a HBA kartami, musí poskytnout nejméně jeden volný slot pro budoucí rozšíření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6F2FC71" w14:textId="6536A0B6" w:rsidR="00B63F86" w:rsidRPr="00B63F86" w:rsidRDefault="00B63F86" w:rsidP="00B63F86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B1D12" w14:textId="7BC0419A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700D9" w14:textId="19A1A8D5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</w:tr>
      <w:tr w:rsidR="00B63F86" w:rsidRPr="00B63F86" w14:paraId="2876C882" w14:textId="7A5EC555" w:rsidTr="00B158EB">
        <w:trPr>
          <w:trHeight w:val="7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E9CFE" w14:textId="6E63C7D8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Chlazení a napájení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996F1" w14:textId="04F69AD7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Server musí být vybaven </w:t>
            </w:r>
            <w:proofErr w:type="spellStart"/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redundatními</w:t>
            </w:r>
            <w:proofErr w:type="spellEnd"/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za provozu vyměnitelnými ventilátory a zdroji v konfiguraci N+N. Zdroje musí být v energetické třídě min. </w:t>
            </w:r>
            <w:proofErr w:type="spellStart"/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Platinum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B5046C9" w14:textId="039ED6D7" w:rsidR="00B63F86" w:rsidRPr="00B63F86" w:rsidRDefault="00B63F86" w:rsidP="00B63F86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85F70" w14:textId="7FA4BA70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24466" w14:textId="6D914DB3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</w:tr>
      <w:tr w:rsidR="00155F96" w:rsidRPr="00B63F86" w14:paraId="7103B10B" w14:textId="7F160161" w:rsidTr="00624B4E">
        <w:trPr>
          <w:trHeight w:val="51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6F9B1" w14:textId="20C55115" w:rsidR="00155F96" w:rsidRPr="00B63F86" w:rsidRDefault="00155F9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Kompatibilita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5ECAA" w14:textId="2112C7DD" w:rsidR="00155F96" w:rsidRPr="00B63F86" w:rsidRDefault="00155F9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Server v nabízené konfiguraci musí být kompatibilní s Windows Server 2012R2 a 2016.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9E52F37" w14:textId="688A1C02" w:rsidR="00155F96" w:rsidRPr="00B63F86" w:rsidRDefault="00155F9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13BC1" w14:textId="156177CF" w:rsidR="00155F96" w:rsidRPr="00B63F86" w:rsidRDefault="00155F9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E2EBB" w14:textId="573DF612" w:rsidR="00155F96" w:rsidRPr="00B63F86" w:rsidRDefault="00155F9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155F96" w:rsidRPr="00B63F86" w14:paraId="00DB4665" w14:textId="77777777" w:rsidTr="00624B4E">
        <w:trPr>
          <w:trHeight w:val="510"/>
        </w:trPr>
        <w:tc>
          <w:tcPr>
            <w:tcW w:w="0" w:type="auto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DF705EB" w14:textId="77777777" w:rsidR="00155F96" w:rsidRPr="00B63F86" w:rsidRDefault="00155F9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AAEF5" w14:textId="569379AF" w:rsidR="00155F96" w:rsidRPr="00B63F86" w:rsidRDefault="00155F9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Dodaný server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706DBC0" w14:textId="77777777" w:rsidR="00155F96" w:rsidRPr="00B63F86" w:rsidRDefault="00155F9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91A0F" w14:textId="77777777" w:rsidR="00155F96" w:rsidRPr="00B63F86" w:rsidRDefault="00155F9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98BF7" w14:textId="77777777" w:rsidR="00155F96" w:rsidRPr="00B63F86" w:rsidRDefault="00155F9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B63F86" w:rsidRPr="00B63F86" w14:paraId="0743DB15" w14:textId="144E0282" w:rsidTr="00B158EB">
        <w:trPr>
          <w:trHeight w:val="51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BEF9A" w14:textId="0A3FD536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Management serveru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3C37C" w14:textId="4DE32C8B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Server musí být vybaven nezávislým HW managementem (</w:t>
            </w:r>
            <w:proofErr w:type="spellStart"/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out</w:t>
            </w:r>
            <w:proofErr w:type="spellEnd"/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of</w:t>
            </w:r>
            <w:proofErr w:type="spellEnd"/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band) následujících vlastností: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13F2C09" w14:textId="1F30A59E" w:rsidR="00B63F86" w:rsidRPr="00B63F86" w:rsidRDefault="00B63F86" w:rsidP="00B63F86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933C1" w14:textId="284E5F10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34ED4" w14:textId="61A1B949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</w:tr>
      <w:tr w:rsidR="00B63F86" w:rsidRPr="00B63F86" w14:paraId="6E4CAC7F" w14:textId="33221E97" w:rsidTr="00B158E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873B8" w14:textId="0FC2F8AA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BC316E" w14:textId="45CA5784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S dedikovaným </w:t>
            </w:r>
            <w:proofErr w:type="spellStart"/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ethernet</w:t>
            </w:r>
            <w:proofErr w:type="spellEnd"/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portem typu 1000Base-T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7C15620" w14:textId="7E8C40E9" w:rsidR="00B63F86" w:rsidRPr="00B63F86" w:rsidRDefault="00B63F86" w:rsidP="00B63F86">
            <w:pPr>
              <w:spacing w:after="0" w:line="240" w:lineRule="auto"/>
              <w:ind w:firstLineChars="100" w:firstLine="2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B63F86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1EB8F" w14:textId="65A3224E" w:rsidR="00B63F86" w:rsidRPr="00B63F86" w:rsidRDefault="00B63F86" w:rsidP="00B63F86">
            <w:pPr>
              <w:spacing w:after="0" w:line="240" w:lineRule="auto"/>
              <w:ind w:firstLineChars="100" w:firstLine="2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B63F86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68FF0" w14:textId="3E67E753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B63F86" w:rsidRPr="00B63F86" w14:paraId="44C72C6E" w14:textId="33B2D9FC" w:rsidTr="00B158EB">
        <w:trPr>
          <w:trHeight w:val="15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27AD4" w14:textId="3EFC4C9D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AEBFB4" w14:textId="537838CF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Management nástroje musí umět poskytovat diagnostiku serveru a ovladače pro </w:t>
            </w:r>
            <w:proofErr w:type="gramStart"/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OS</w:t>
            </w:r>
            <w:proofErr w:type="gramEnd"/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bez speciální dedikované </w:t>
            </w:r>
            <w:proofErr w:type="spellStart"/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partition</w:t>
            </w:r>
            <w:proofErr w:type="spellEnd"/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na interních discích serveru a nezávisle na těchto discích, tzn. i </w:t>
            </w:r>
            <w:proofErr w:type="spellStart"/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bezdiskový</w:t>
            </w:r>
            <w:proofErr w:type="spellEnd"/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server poskytuje diagnostiku serveru. Nepřipouští se diagnostika spouštěná z optické mechaniky nebo jiného externího zařízení (např. USB </w:t>
            </w:r>
            <w:proofErr w:type="spellStart"/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flash</w:t>
            </w:r>
            <w:proofErr w:type="spellEnd"/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disk, SD karta, atd.)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14:paraId="50FD2811" w14:textId="462846FF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6FF8D" w14:textId="123890C3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682DE" w14:textId="1F164070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B63F86" w:rsidRPr="00B63F86" w14:paraId="3C77E1A2" w14:textId="088A9607" w:rsidTr="00B158E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05121" w14:textId="6F617575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35184F" w14:textId="08E3EC57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Server musí být </w:t>
            </w:r>
            <w:proofErr w:type="spellStart"/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integrovatelný</w:t>
            </w:r>
            <w:proofErr w:type="spellEnd"/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do monitorovacího systému PRTG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14:paraId="22F266D1" w14:textId="2AEE6933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F2AC7" w14:textId="174687B8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8FFBE" w14:textId="07D16E8C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B63F86" w:rsidRPr="00B63F86" w14:paraId="133BF121" w14:textId="46542E26" w:rsidTr="00B158EB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7D3E0" w14:textId="47AA419D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2811EA" w14:textId="5637CA8D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Je vyžadována je schopnost monitorovat a spravovat server </w:t>
            </w:r>
            <w:proofErr w:type="spellStart"/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out</w:t>
            </w:r>
            <w:proofErr w:type="spellEnd"/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  <w:proofErr w:type="spellStart"/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of</w:t>
            </w:r>
            <w:proofErr w:type="spellEnd"/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-band bez nutnosti instalace agenta do operačního systému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43441A2B" w14:textId="3562636E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CCD7F" w14:textId="1A8D557F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44DDD" w14:textId="3B159725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B63F86" w:rsidRPr="00B63F86" w14:paraId="0983E494" w14:textId="6A1229E5" w:rsidTr="00B158EB">
        <w:trPr>
          <w:trHeight w:val="7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E2A4B" w14:textId="267B3B20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C97F00" w14:textId="4E6E90D4" w:rsidR="00B63F86" w:rsidRPr="00B63F86" w:rsidRDefault="00B63F86" w:rsidP="000940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Server musí mít schopnost automatického stahování aktualizací </w:t>
            </w:r>
            <w:r w:rsidR="000940C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firmware</w:t>
            </w:r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a </w:t>
            </w:r>
            <w:proofErr w:type="spellStart"/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biosů</w:t>
            </w:r>
            <w:proofErr w:type="spellEnd"/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, jejich aplikace a možnost následného </w:t>
            </w:r>
            <w:proofErr w:type="spellStart"/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roll-back</w:t>
            </w:r>
            <w:proofErr w:type="spellEnd"/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v případě selhání, integrované zálohování konfigurace a firmware HW </w:t>
            </w:r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lastRenderedPageBreak/>
              <w:t xml:space="preserve">zařízení serveru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4819F14D" w14:textId="453EEBF0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AE9B2" w14:textId="19EE2A2F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41986" w14:textId="60D5184D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B63F86" w:rsidRPr="00B63F86" w14:paraId="1C383043" w14:textId="7B84A302" w:rsidTr="00B158EB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4AC67" w14:textId="55DE33EC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B6AC75" w14:textId="26BD2CC9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Možnost automatické rekonfigurace zařízení v případě jejich výměny vč. základové desky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7902D174" w14:textId="426BDCE2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A3DE2" w14:textId="3F0596FA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4F2EC" w14:textId="547DDC98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B63F86" w:rsidRPr="00B63F86" w14:paraId="223E20C9" w14:textId="6D19971D" w:rsidTr="00B158EB">
        <w:trPr>
          <w:trHeight w:val="7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03CCD" w14:textId="2A6E843B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4962BB" w14:textId="6CD392B0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Management musí podporovat </w:t>
            </w:r>
            <w:proofErr w:type="spellStart"/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dvoufaktorovou</w:t>
            </w:r>
            <w:proofErr w:type="spellEnd"/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autentikaci</w:t>
            </w:r>
            <w:proofErr w:type="spellEnd"/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, filtrování přístupu na základě IP adres (IP </w:t>
            </w:r>
            <w:proofErr w:type="spellStart"/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blocking</w:t>
            </w:r>
            <w:proofErr w:type="spellEnd"/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) a integraci uživatelů do AD/LDAP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425D8D1B" w14:textId="0BAF602E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B113D" w14:textId="62096A19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10F20" w14:textId="1E38336D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B63F86" w:rsidRPr="00B63F86" w14:paraId="4DDCD6E7" w14:textId="54C05ACF" w:rsidTr="00B158EB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C708C" w14:textId="09C72E6C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F6872B" w14:textId="49EA5708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Požadujeme vestavěné GUI s podporou HTML5, nepřipouští se použití </w:t>
            </w:r>
            <w:proofErr w:type="spellStart"/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Acttive</w:t>
            </w:r>
            <w:proofErr w:type="spellEnd"/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-X </w:t>
            </w:r>
            <w:proofErr w:type="spellStart"/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pluginů</w:t>
            </w:r>
            <w:proofErr w:type="spellEnd"/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, nebo JAVA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30AC746F" w14:textId="3E19A7E5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B8AE2" w14:textId="794ADBCC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BE1A8" w14:textId="47DF189F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B63F86" w:rsidRPr="00B63F86" w14:paraId="3AFBE034" w14:textId="71E57B6C" w:rsidTr="00B158EB">
        <w:trPr>
          <w:trHeight w:val="10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D32D6" w14:textId="7268A93D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040A31" w14:textId="68506A7B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Podpora zabezpečení pomocí </w:t>
            </w:r>
            <w:proofErr w:type="spellStart"/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lock-down</w:t>
            </w:r>
            <w:proofErr w:type="spellEnd"/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(zamrazení) nastavení serveru, verzí firmware a </w:t>
            </w:r>
            <w:proofErr w:type="spellStart"/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biosu</w:t>
            </w:r>
            <w:proofErr w:type="spellEnd"/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, jako ochrana proti podvržení škodlivého kódu ve firmwarech. Případné firmware a update výrobce pro server, musí být podepsány certifikátem výrobce.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7F07DA74" w14:textId="7011F228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4A07B" w14:textId="7B83E3EF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D70C4" w14:textId="0DCC4E53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B63F86" w:rsidRPr="00B63F86" w14:paraId="3A38784C" w14:textId="51EA4B48" w:rsidTr="00B158EB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4EBED" w14:textId="0BBCE40F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6BD669" w14:textId="6885D6CF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Podpora bezpečného vymazání veškerých dat na serveru a jeho komponentách pro případ vyřazení serveru z jeho role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5E0D68F6" w14:textId="718EA85A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09802" w14:textId="08DD66C8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45B1F" w14:textId="30BCB14B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B63F86" w:rsidRPr="00B63F86" w14:paraId="600005BA" w14:textId="6AC897A9" w:rsidTr="00B158E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BD2C1" w14:textId="2456FC79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80F31A" w14:textId="5068ACEA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Komunikace managementu pomocí: HTTPS, CLI, IPMI, WSMAN, REDFISH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3FFB271A" w14:textId="5ABE6785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7F7A0" w14:textId="55964357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36D2C" w14:textId="00A23B46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B63F86" w:rsidRPr="00B63F86" w14:paraId="2BDBDBA5" w14:textId="0BBE6000" w:rsidTr="00B158EB">
        <w:trPr>
          <w:trHeight w:val="7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F1651" w14:textId="5CCC3F60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47D3C6" w14:textId="22A83F90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Management musí podporovat spojení s technickou podporou výrobce a automaticky vytvářet servisní incidenty, včetně odeslání HW logů serveru (call-</w:t>
            </w:r>
            <w:proofErr w:type="spellStart"/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home</w:t>
            </w:r>
            <w:proofErr w:type="spellEnd"/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) a to bez nutnosti instalace externího SW, nebo řídícího serveru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19945588" w14:textId="2B9B2A31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20CF5" w14:textId="7AAE5A16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808F0" w14:textId="0DC2F85A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B63F86" w:rsidRPr="00B63F86" w14:paraId="4EB3914A" w14:textId="684A7A8F" w:rsidTr="00B158EB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61778" w14:textId="2175A888" w:rsidR="00B63F86" w:rsidRPr="00CE6C9C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Požadavky na záruku a servis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F17DC" w14:textId="5E56A4F0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Požadujeme dodání podpory výrobce v délce trvání min. 5 let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22830E6B" w14:textId="3D0275F6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CDAE4" w14:textId="227431FD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62344" w14:textId="5EAE85A9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B63F86" w:rsidRPr="00B63F86" w14:paraId="19A57B5A" w14:textId="2623BE94" w:rsidTr="00B158E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99674" w14:textId="0C4CBBCF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DC06D" w14:textId="06028ED4" w:rsidR="00B63F86" w:rsidRPr="00B63F86" w:rsidRDefault="00950CC5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50C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Technická podpora musí být dostupná v České republice a v českém jazyce prostřednictvím telefonu v režimu 9x5 a prostřednictvím </w:t>
            </w:r>
            <w:proofErr w:type="spellStart"/>
            <w:r w:rsidRPr="00950C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servicedesku</w:t>
            </w:r>
            <w:proofErr w:type="spellEnd"/>
            <w:r w:rsidRPr="00950C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v režimu 24 x7</w:t>
            </w:r>
            <w:r w:rsidR="00B63F86"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0C7BD8BD" w14:textId="4C1938D6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6748D" w14:textId="7EA648AC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1E6F0" w14:textId="4C3EF402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B63F86" w:rsidRPr="00B63F86" w14:paraId="7025470E" w14:textId="564487B1" w:rsidTr="00B158EB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9F067" w14:textId="4453030A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88EE9" w14:textId="0A8F1CAE" w:rsidR="00B63F86" w:rsidRPr="00B63F86" w:rsidRDefault="00B63F86" w:rsidP="00BD1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Součástí podpory musí být zajištění opravy na místě se zahájením zásahu </w:t>
            </w:r>
            <w:r w:rsidR="00BD1B8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NBD</w:t>
            </w:r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od diagnostiky závady.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7C5F6545" w14:textId="3CF257FD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D062B" w14:textId="38266B0A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2946F" w14:textId="34E52837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B63F86" w:rsidRPr="00B63F86" w14:paraId="7A21294B" w14:textId="6A619204" w:rsidTr="00B158EB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3D108" w14:textId="1E16769B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6FDF1" w14:textId="5ED0E1F6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Stav podpory musí být možné kdykoliv ověřit přímo na online portálu výrobce a to po zadání sériového čísla zařízení.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2B18DED1" w14:textId="0E79896A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8D0B7" w14:textId="67996253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BDFAF" w14:textId="025DFA8D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B63F86" w:rsidRPr="00B63F86" w14:paraId="2A920231" w14:textId="12329EB0" w:rsidTr="00494A58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A1196" w14:textId="3C2B9665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1A4B2" w14:textId="6F358398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Podpora musí být dodána a garantována jako celek výrobcem zařízení včetně zajištění dodávky náhradních dílů a </w:t>
            </w:r>
            <w:proofErr w:type="spellStart"/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helpdesku</w:t>
            </w:r>
            <w:proofErr w:type="spellEnd"/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42D82E82" w14:textId="7306556D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D1627" w14:textId="371FA8BD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Uveďte přesné označení servisní garance poskytnuté výrobcem zařízení a jeho parametry formou katalogového listu služby.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14:paraId="2BC7C9B5" w14:textId="54992523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B63F86" w:rsidRPr="00B63F86" w14:paraId="6BCC6C80" w14:textId="362782AC" w:rsidTr="00B158EB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AD8AF" w14:textId="3AFE79CA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784F9" w14:textId="4F930888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Součástí podpory musí být dodání certifikovaného technika do místa instalace, který provede kvalifikovanou výměnu náhradních dílů.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4F84FE4D" w14:textId="56BB348D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CB281" w14:textId="66DBFBAF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8D33C" w14:textId="20534916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B63F86" w:rsidRPr="00B63F86" w14:paraId="2EC130C9" w14:textId="6796DD18" w:rsidTr="00B158EB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B6430" w14:textId="24CCC45F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F3850" w14:textId="44310D14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Podpora výrobce se musí v celé délce trvání vztahovat na veškerou softwarovou výbavu, která je součástí dodávky. Součástí dodávky musí být zajištění přístupu k aktualizacím a novým verzím veškerého software, který je součástí dodávky.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1A503BB8" w14:textId="28CF8BD0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FAF7A" w14:textId="3D337258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BA68C" w14:textId="79B67441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B63F86" w:rsidRPr="00B63F86" w14:paraId="394483EC" w14:textId="54F102FC" w:rsidTr="00B158EB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96663" w14:textId="21ACC8BF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9B5DE" w14:textId="0A8CFF4F" w:rsidR="00B63F86" w:rsidRPr="00B63F86" w:rsidRDefault="00F57B61" w:rsidP="00F57B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Vadný disk v rámci z</w:t>
            </w:r>
            <w:r w:rsidR="00B63F86"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áruční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ho</w:t>
            </w:r>
            <w:r w:rsidR="00B63F86"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servis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u</w:t>
            </w:r>
            <w:r w:rsidR="00B63F86" w:rsidRPr="00B63F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zůstává v majetku objednatele.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0CA2A738" w14:textId="0068C129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5D135" w14:textId="4DC6E842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7B982" w14:textId="62C905D1" w:rsidR="00B63F86" w:rsidRPr="00B63F86" w:rsidRDefault="00B63F86" w:rsidP="00B6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3F8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</w:tbl>
    <w:p w14:paraId="65BFDBE0" w14:textId="77777777" w:rsidR="00FC15A7" w:rsidRDefault="00FC15A7" w:rsidP="00FC15A7">
      <w:pPr>
        <w:pStyle w:val="Nadpis2"/>
      </w:pPr>
      <w:r>
        <w:t>Zálohovací software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8"/>
        <w:gridCol w:w="4345"/>
        <w:gridCol w:w="1038"/>
        <w:gridCol w:w="1241"/>
        <w:gridCol w:w="1320"/>
      </w:tblGrid>
      <w:tr w:rsidR="0032475C" w:rsidRPr="0032475C" w14:paraId="1C3E3F8E" w14:textId="77777777" w:rsidTr="006664E3">
        <w:trPr>
          <w:trHeight w:val="1275"/>
        </w:trPr>
        <w:tc>
          <w:tcPr>
            <w:tcW w:w="5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83CD2" w14:textId="77777777" w:rsidR="0032475C" w:rsidRPr="0032475C" w:rsidRDefault="0032475C" w:rsidP="00324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Požadované vlastnosti řešení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22BEA" w14:textId="77777777" w:rsidR="0032475C" w:rsidRPr="0032475C" w:rsidRDefault="0032475C" w:rsidP="00324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Splnění požadavku (Ano/Ne)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B91DD" w14:textId="77777777" w:rsidR="0032475C" w:rsidRPr="0032475C" w:rsidRDefault="0032475C" w:rsidP="00324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Pokyny pro uvedení technických parametrů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7ADAA" w14:textId="77777777" w:rsidR="0032475C" w:rsidRPr="0032475C" w:rsidRDefault="0032475C" w:rsidP="00324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Technické parametry nabízeného řešení (vyplňte podle pokynů ve sloupci "Pokyny pro uvedení technických parametrů")</w:t>
            </w:r>
          </w:p>
        </w:tc>
      </w:tr>
      <w:tr w:rsidR="0032475C" w:rsidRPr="0032475C" w14:paraId="61B9B9FA" w14:textId="77777777" w:rsidTr="00506DAF">
        <w:trPr>
          <w:trHeight w:val="510"/>
        </w:trPr>
        <w:tc>
          <w:tcPr>
            <w:tcW w:w="5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8FA89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Přesné typové označení nabízeného řešení</w:t>
            </w:r>
          </w:p>
        </w:tc>
        <w:tc>
          <w:tcPr>
            <w:tcW w:w="103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02C58" w14:textId="77777777" w:rsidR="0032475C" w:rsidRPr="0032475C" w:rsidRDefault="0032475C" w:rsidP="00324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X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1E5E4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Uveďte značku a přesné typové označení nabízeného zařízení, případně jeho částí.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779D1EF6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2475C" w:rsidRPr="0032475C" w14:paraId="56BDF0A3" w14:textId="77777777" w:rsidTr="00506DAF">
        <w:trPr>
          <w:trHeight w:val="1020"/>
        </w:trPr>
        <w:tc>
          <w:tcPr>
            <w:tcW w:w="1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09A57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Obecné vlastnosti</w:t>
            </w: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DD25F" w14:textId="6B03D743" w:rsidR="0032475C" w:rsidRPr="0032475C" w:rsidRDefault="0032475C" w:rsidP="00FA178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Zálohovací software podporuje infrastrukturu </w:t>
            </w:r>
            <w:proofErr w:type="spellStart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VMware</w:t>
            </w:r>
            <w:proofErr w:type="spellEnd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založenou na verzích </w:t>
            </w:r>
            <w:proofErr w:type="spellStart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vSphere</w:t>
            </w:r>
            <w:proofErr w:type="spellEnd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6.0, 6.5, 6.7 a  Hyper-V 2012, Hyper-V 2012 R2 a Hyper-V 2016 (podpora *.</w:t>
            </w:r>
            <w:proofErr w:type="spellStart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vhdx</w:t>
            </w:r>
            <w:proofErr w:type="spellEnd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). Všechny níže popsané funkcionality musí být splněny pro všechny zmíněné verze </w:t>
            </w:r>
            <w:proofErr w:type="spellStart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hypervizorů</w:t>
            </w:r>
            <w:proofErr w:type="spellEnd"/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10C6D64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D57DD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09E84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2475C" w:rsidRPr="0032475C" w14:paraId="4B278B15" w14:textId="77777777" w:rsidTr="00506DAF">
        <w:trPr>
          <w:trHeight w:val="525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59061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0BA0B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Software podporuje </w:t>
            </w:r>
            <w:proofErr w:type="spellStart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ESXi</w:t>
            </w:r>
            <w:proofErr w:type="spellEnd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servery spravované pomocí </w:t>
            </w:r>
            <w:proofErr w:type="spellStart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VMware</w:t>
            </w:r>
            <w:proofErr w:type="spellEnd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vCenter</w:t>
            </w:r>
            <w:proofErr w:type="spellEnd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Serveru a samostatné </w:t>
            </w:r>
            <w:proofErr w:type="spellStart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ESXi</w:t>
            </w:r>
            <w:proofErr w:type="spellEnd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servery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14:paraId="732E2BE8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76368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D7E00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2475C" w:rsidRPr="0032475C" w14:paraId="65CF6974" w14:textId="77777777" w:rsidTr="00506DAF">
        <w:trPr>
          <w:trHeight w:val="765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F909A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B33F8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Software podporuje Hyper-V servery spravované </w:t>
            </w:r>
            <w:proofErr w:type="spellStart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System</w:t>
            </w:r>
            <w:proofErr w:type="spellEnd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Center </w:t>
            </w:r>
            <w:proofErr w:type="spellStart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Virtual</w:t>
            </w:r>
            <w:proofErr w:type="spellEnd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Machine</w:t>
            </w:r>
            <w:proofErr w:type="spellEnd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Managerem</w:t>
            </w:r>
            <w:proofErr w:type="spellEnd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, Hyper-V servery ve </w:t>
            </w:r>
            <w:proofErr w:type="spellStart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failover</w:t>
            </w:r>
            <w:proofErr w:type="spellEnd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clusteru a samostatné Hyper-V servery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3758AA3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44503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86DF6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2475C" w:rsidRPr="0032475C" w14:paraId="7C16E18C" w14:textId="77777777" w:rsidTr="00506DAF">
        <w:trPr>
          <w:trHeight w:val="51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D8757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E0CA4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Software musí podporovat zálohu všech operačních systémů, které jsou podporované pro provoz ve </w:t>
            </w:r>
            <w:proofErr w:type="spellStart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VMware</w:t>
            </w:r>
            <w:proofErr w:type="spellEnd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nebo Hyper-V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907C8F8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5A051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4358B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2475C" w:rsidRPr="0032475C" w14:paraId="628BD9F6" w14:textId="77777777" w:rsidTr="00506DAF">
        <w:trPr>
          <w:trHeight w:val="51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79FB7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6D9AB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Software musí být „hardware </w:t>
            </w:r>
            <w:proofErr w:type="spellStart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agnostic</w:t>
            </w:r>
            <w:proofErr w:type="spellEnd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” a musí umožnit využití běžného serveru a diskového úložiště.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AA932B7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B55CB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7393F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2475C" w:rsidRPr="0032475C" w14:paraId="4E0DD390" w14:textId="77777777" w:rsidTr="00506DAF">
        <w:trPr>
          <w:trHeight w:val="765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5956D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22F04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Software musí vytvářet soubory záloh, které je snadné přesouvat a jsou nezávislé na </w:t>
            </w:r>
            <w:proofErr w:type="spellStart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metadatech</w:t>
            </w:r>
            <w:proofErr w:type="spellEnd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a databázi s možností nastavení vytváření těchto souborů na principu per </w:t>
            </w:r>
            <w:proofErr w:type="spellStart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backup</w:t>
            </w:r>
            <w:proofErr w:type="spellEnd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/per VM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2C2A40A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BE994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C935A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2475C" w:rsidRPr="0032475C" w14:paraId="4FB85BD1" w14:textId="77777777" w:rsidTr="00506DAF">
        <w:trPr>
          <w:trHeight w:val="51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A1C6C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11E4B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Software musí umožňovat automatické vytváření sekundární zálohy na páskové medium LTO8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61412E5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5812E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99F12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2475C" w:rsidRPr="0032475C" w14:paraId="56973501" w14:textId="77777777" w:rsidTr="00506DAF">
        <w:trPr>
          <w:trHeight w:val="51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73884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006C2" w14:textId="56E9C90F" w:rsidR="0032475C" w:rsidRPr="0032475C" w:rsidRDefault="00B42B76" w:rsidP="00B42B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42B7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Software musí umožňovat v rámci jedné zálohovací úlohy ukládání souborů záloh do více fyzických diskových úložišť s různým typem připojení a od </w:t>
            </w:r>
            <w:r w:rsidRPr="00B42B7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lastRenderedPageBreak/>
              <w:t>různých výrobců pro usnadnění škálovatelnosti řešení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D7FFC0B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lastRenderedPageBreak/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51B58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6E7CC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2475C" w:rsidRPr="0032475C" w14:paraId="4C70EB1F" w14:textId="77777777" w:rsidTr="00506DAF">
        <w:trPr>
          <w:trHeight w:val="78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9548A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CD833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Software musí disponovat </w:t>
            </w:r>
            <w:proofErr w:type="spellStart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deduplikačním</w:t>
            </w:r>
            <w:proofErr w:type="spellEnd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a kompresním mechanismem, který zaručí redukci diskového prostoru potřebného pro zálohovací soubory; tato funkcionalita nesmí mít dopad na žádnou z níže poptávaných vlastností.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14:paraId="7B4EDA7E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10CED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99FB6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2475C" w:rsidRPr="0032475C" w14:paraId="685F1301" w14:textId="77777777" w:rsidTr="00506DAF">
        <w:trPr>
          <w:trHeight w:val="78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8F495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BB652" w14:textId="6B37B9CB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Software nesmí využívat centrální databázi pro ukládání </w:t>
            </w:r>
            <w:proofErr w:type="spellStart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deduplikačních</w:t>
            </w:r>
            <w:proofErr w:type="spellEnd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metadat</w:t>
            </w:r>
            <w:proofErr w:type="spellEnd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. Ztráta</w:t>
            </w:r>
            <w:r w:rsidR="00A2448F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, poškození nebo nedostupnost</w:t>
            </w: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databáze nesmí vést k nemožnosti obnovy dat ze zálohovacích souborů. </w:t>
            </w:r>
            <w:proofErr w:type="spellStart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Deduplikační</w:t>
            </w:r>
            <w:proofErr w:type="spellEnd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metadata</w:t>
            </w:r>
            <w:proofErr w:type="spellEnd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by měla být uložena s </w:t>
            </w:r>
            <w:proofErr w:type="spellStart"/>
            <w:proofErr w:type="gramStart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backup</w:t>
            </w:r>
            <w:proofErr w:type="spellEnd"/>
            <w:proofErr w:type="gramEnd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soubory.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14:paraId="791E387C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9DEF1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A7A9F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2475C" w:rsidRPr="0032475C" w14:paraId="15C7865E" w14:textId="77777777" w:rsidTr="00506DAF">
        <w:trPr>
          <w:trHeight w:val="525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90720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31079" w14:textId="09FA75F6" w:rsidR="0032475C" w:rsidRPr="0032475C" w:rsidRDefault="0032475C" w:rsidP="00CE6C9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Software nesmí instalovat žádný typ stálého agenta uvnitř Virtuálního Stroje, který vyžaduje údržbu, instalaci, udržování aktualizací atd.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14:paraId="51DBAE20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3D5FE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55F58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2475C" w:rsidRPr="0032475C" w14:paraId="314A6B2E" w14:textId="77777777" w:rsidTr="00506DAF">
        <w:trPr>
          <w:trHeight w:val="765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A7DFF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05BCE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Software musí využívat „single </w:t>
            </w:r>
            <w:proofErr w:type="spellStart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pass</w:t>
            </w:r>
            <w:proofErr w:type="spellEnd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backup</w:t>
            </w:r>
            <w:proofErr w:type="spellEnd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” – s možností vyjmutí adresářů/souborů z procesu zálohy. „Single </w:t>
            </w:r>
            <w:proofErr w:type="spellStart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pass</w:t>
            </w:r>
            <w:proofErr w:type="spellEnd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backup</w:t>
            </w:r>
            <w:proofErr w:type="spellEnd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” je vyžadován pro všechny druhy obnov, včetně granulárních obnov.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00EC234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D32F5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8DAB1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2475C" w:rsidRPr="0032475C" w14:paraId="2D691D51" w14:textId="77777777" w:rsidTr="00506DAF">
        <w:trPr>
          <w:trHeight w:val="51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E8401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AC7FE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Software musí mít mechanismus pro notifikaci průběhu záloh a chyb pomocí e-mail nebo SNMP.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7F774CDC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CA237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7C90F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</w:tr>
      <w:tr w:rsidR="0032475C" w:rsidRPr="0032475C" w14:paraId="78175B76" w14:textId="77777777" w:rsidTr="00506DAF">
        <w:trPr>
          <w:trHeight w:val="51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6703D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C9666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Software musí umožnit definici </w:t>
            </w:r>
            <w:proofErr w:type="spellStart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pre</w:t>
            </w:r>
            <w:proofErr w:type="spellEnd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- a post- </w:t>
            </w:r>
            <w:proofErr w:type="spellStart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backup</w:t>
            </w:r>
            <w:proofErr w:type="spellEnd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skriptu a </w:t>
            </w:r>
            <w:proofErr w:type="spellStart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pre-freeze</w:t>
            </w:r>
            <w:proofErr w:type="spellEnd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/post-</w:t>
            </w:r>
            <w:proofErr w:type="spellStart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thaw</w:t>
            </w:r>
            <w:proofErr w:type="spellEnd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skriptu (</w:t>
            </w:r>
            <w:proofErr w:type="spellStart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VMware</w:t>
            </w:r>
            <w:proofErr w:type="spellEnd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).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1D029069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ADF52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5F1BA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</w:tr>
      <w:tr w:rsidR="0032475C" w:rsidRPr="0032475C" w14:paraId="0CD2AEED" w14:textId="77777777" w:rsidTr="00506DAF">
        <w:trPr>
          <w:trHeight w:val="51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CB77A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795AA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Software musí umožňovat selektivní obnovy účtů a objektů v </w:t>
            </w:r>
            <w:proofErr w:type="spellStart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Active</w:t>
            </w:r>
            <w:proofErr w:type="spellEnd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Directory</w:t>
            </w:r>
            <w:proofErr w:type="spellEnd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, včetně </w:t>
            </w:r>
            <w:proofErr w:type="spellStart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GPOs</w:t>
            </w:r>
            <w:proofErr w:type="spellEnd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a DNS záznamů.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70F58C7F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BDA27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CC0F1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</w:tr>
      <w:tr w:rsidR="0032475C" w:rsidRPr="0032475C" w14:paraId="44335FA2" w14:textId="77777777" w:rsidTr="00506DAF">
        <w:trPr>
          <w:trHeight w:val="765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D779E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2A0BF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Software musí poskytovat samoobslužný portál pro obnovu souborů, celých Virtuálních Strojů, položek MS Exchange a databází MSSQL (včetně podpory point-in-</w:t>
            </w:r>
            <w:proofErr w:type="spellStart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time</w:t>
            </w:r>
            <w:proofErr w:type="spellEnd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).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184D89A5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632A4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1A429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</w:tr>
      <w:tr w:rsidR="0032475C" w:rsidRPr="0032475C" w14:paraId="20EA2FB3" w14:textId="77777777" w:rsidTr="00506DAF">
        <w:trPr>
          <w:trHeight w:val="51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8A02C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5750D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Software musí umožnit zálohu konfigurace celého zálohovacího prostředí pro případ reinstalace nebo migrace v případě potřeby.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6D784EFC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B1388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91727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</w:tr>
      <w:tr w:rsidR="0032475C" w:rsidRPr="0032475C" w14:paraId="129DFAD8" w14:textId="77777777" w:rsidTr="00506DAF">
        <w:trPr>
          <w:trHeight w:val="51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4BBAB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08090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Software musí podporovat </w:t>
            </w:r>
            <w:proofErr w:type="spellStart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enkrypci</w:t>
            </w:r>
            <w:proofErr w:type="spellEnd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celé síťové komunikace mezi všemi komponentami řešení bez dopadu na níže popsané funkcionality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7920EE4C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2DF94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82848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</w:tr>
      <w:tr w:rsidR="0032475C" w:rsidRPr="0032475C" w14:paraId="2B531ED3" w14:textId="77777777" w:rsidTr="00506DAF">
        <w:trPr>
          <w:trHeight w:val="51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CFC25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202D0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Software musí podporovat </w:t>
            </w:r>
            <w:proofErr w:type="spellStart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enkrypci</w:t>
            </w:r>
            <w:proofErr w:type="spellEnd"/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zálohovacích souborů bez dopadu na níže popsané funkcionality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0942CA92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F0D2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08174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</w:tr>
      <w:tr w:rsidR="0032475C" w:rsidRPr="0032475C" w14:paraId="69F8D4AC" w14:textId="77777777" w:rsidTr="00506DAF">
        <w:trPr>
          <w:trHeight w:val="51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25CC5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DBC6B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Software poskytuje správu klíčů a možnost obnovy v případě ztráty hesla k šifrovanému zálohovacímu souboru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76724051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A4F66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4CC27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</w:tr>
      <w:tr w:rsidR="0032475C" w:rsidRPr="0032475C" w14:paraId="15C19444" w14:textId="77777777" w:rsidTr="00506DAF">
        <w:trPr>
          <w:trHeight w:val="51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3C8E4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E96B6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Software musí mít klient/server architekturu s možností instalace více instancí administrátorské konzole.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5228B3AF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22C2B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56787" w14:textId="77777777" w:rsidR="0032475C" w:rsidRPr="0032475C" w:rsidRDefault="0032475C" w:rsidP="00324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2475C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</w:tr>
      <w:tr w:rsidR="0032475C" w:rsidRPr="00CE6C9C" w14:paraId="52192F33" w14:textId="77777777" w:rsidTr="00506DAF">
        <w:trPr>
          <w:trHeight w:val="900"/>
        </w:trPr>
        <w:tc>
          <w:tcPr>
            <w:tcW w:w="1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AF99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Požadavky na RPO (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Recovery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Point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Objective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) - zálohování</w:t>
            </w: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A5194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Software musí využívat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Change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Block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Tracking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(CBT) pro oba podporované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hypervisory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VMware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a Hyper-V. CBT technologie musí být certifikována výrobcem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hypervisoru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6F38822A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67892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C67DB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</w:tr>
      <w:tr w:rsidR="0032475C" w:rsidRPr="00CE6C9C" w14:paraId="214B8B56" w14:textId="77777777" w:rsidTr="00506DAF">
        <w:trPr>
          <w:trHeight w:val="60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48DEC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55AC6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Software musí poskytovat technologii pro omezení stresu na produkční datové úložiště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0BE80EB6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9191B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51B78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</w:tr>
      <w:tr w:rsidR="0032475C" w:rsidRPr="00CE6C9C" w14:paraId="3353D358" w14:textId="77777777" w:rsidTr="00506DAF">
        <w:trPr>
          <w:trHeight w:val="90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D1351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B09A7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V průběhu zálohování v případě, že proces zálohování vede ke zvýšení latence datového úložiště. Tato vlastnost musí být dostupná pro oba podporované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hypervisory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7FBE35D6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461B5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5261B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</w:tr>
      <w:tr w:rsidR="0032475C" w:rsidRPr="00CE6C9C" w14:paraId="2C90E47F" w14:textId="77777777" w:rsidTr="00506DAF">
        <w:trPr>
          <w:trHeight w:val="90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FA26C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6DFB3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Software musí poskytovat automatickou detekci “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orphaned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snapshots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” a měl by automaticky zajistit konsolidaci takových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snapshotů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64A0C764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E40CA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849B8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</w:tr>
      <w:tr w:rsidR="002A2F7B" w:rsidRPr="00CE6C9C" w14:paraId="0DE5DEA8" w14:textId="77777777" w:rsidTr="00506DAF">
        <w:trPr>
          <w:trHeight w:val="60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746B7" w14:textId="77777777" w:rsidR="002A2F7B" w:rsidRPr="00CE6C9C" w:rsidRDefault="002A2F7B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0856A" w14:textId="6410176F" w:rsidR="002A2F7B" w:rsidRPr="00CE6C9C" w:rsidRDefault="002A2F7B" w:rsidP="002A2F7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Navrhované řešení musí být možné integrovat se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snapshot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technologií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diskovýmich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řešení  - minimálně HPE,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NetApp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, Dell EMC, IBM a </w:t>
            </w:r>
            <w:proofErr w:type="spellStart"/>
            <w:proofErr w:type="gram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Lenovo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..</w:t>
            </w:r>
            <w:proofErr w:type="gram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Integrace by měla umožnit zálohování ze SAN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snapshotu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, aby se omezilo využívání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hypervizorového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snapshotu</w:t>
            </w:r>
            <w:proofErr w:type="spellEnd"/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38B106C" w14:textId="77777777" w:rsidR="002A2F7B" w:rsidRPr="00CE6C9C" w:rsidRDefault="002A2F7B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1BBB3" w14:textId="77777777" w:rsidR="002A2F7B" w:rsidRPr="00CE6C9C" w:rsidRDefault="002A2F7B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AB245" w14:textId="77777777" w:rsidR="002A2F7B" w:rsidRPr="00CE6C9C" w:rsidRDefault="002A2F7B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64364D" w:rsidRPr="00CE6C9C" w14:paraId="41772550" w14:textId="77777777" w:rsidTr="00506DAF">
        <w:trPr>
          <w:trHeight w:val="60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29550" w14:textId="77777777" w:rsidR="0064364D" w:rsidRPr="00CE6C9C" w:rsidRDefault="0064364D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6EE9B" w14:textId="65D73DBE" w:rsidR="0064364D" w:rsidRPr="00CE6C9C" w:rsidRDefault="0064364D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Software musí podporovat obnovu ze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snapshotů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podporovaných diskových polí na identické úrovni, jako ze souborů záloh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7ECBAA1" w14:textId="77777777" w:rsidR="0064364D" w:rsidRPr="00CE6C9C" w:rsidRDefault="0064364D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071F4" w14:textId="77777777" w:rsidR="0064364D" w:rsidRPr="00CE6C9C" w:rsidRDefault="0064364D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071B6" w14:textId="77777777" w:rsidR="0064364D" w:rsidRPr="00CE6C9C" w:rsidRDefault="0064364D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32475C" w:rsidRPr="00CE6C9C" w14:paraId="2FFFB727" w14:textId="77777777" w:rsidTr="00506DAF">
        <w:trPr>
          <w:trHeight w:val="60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AAF02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8B585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Software musí mít možnost vytváření archivů záloh na páskové knihovny s </w:t>
            </w:r>
            <w:proofErr w:type="gram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podporou 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trackování</w:t>
            </w:r>
            <w:proofErr w:type="spellEnd"/>
            <w:proofErr w:type="gram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VM na páskách.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14988856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2F6A0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C387B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</w:tr>
      <w:tr w:rsidR="0032475C" w:rsidRPr="00CE6C9C" w14:paraId="6B84F1E4" w14:textId="77777777" w:rsidTr="00506DAF">
        <w:trPr>
          <w:trHeight w:val="60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21F60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A4EF0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Páskovou knihovnu musí být možné provozovat separátně od </w:t>
            </w:r>
            <w:proofErr w:type="spellStart"/>
            <w:proofErr w:type="gram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backup</w:t>
            </w:r>
            <w:proofErr w:type="spellEnd"/>
            <w:proofErr w:type="gram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serveru.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64531558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6B61F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5A558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</w:tr>
      <w:tr w:rsidR="0032475C" w:rsidRPr="00CE6C9C" w14:paraId="491E3B73" w14:textId="77777777" w:rsidTr="00506DAF">
        <w:trPr>
          <w:trHeight w:val="30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09842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E137C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Software musí podporovat vytváření vzdálených kopií záloh.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37DE7163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0A7AC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D60FA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</w:tr>
      <w:tr w:rsidR="0032475C" w:rsidRPr="00CE6C9C" w14:paraId="4F2E71F9" w14:textId="77777777" w:rsidTr="00506DAF">
        <w:trPr>
          <w:trHeight w:val="60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B8285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AF6B1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Software musí podporovat vytváření a správu GFS (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Grandfather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-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father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-son) retenční politiky.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2A46BDFE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37D01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F975B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</w:tr>
      <w:tr w:rsidR="0032475C" w:rsidRPr="00CE6C9C" w14:paraId="19DDF671" w14:textId="77777777" w:rsidTr="00506DAF">
        <w:trPr>
          <w:trHeight w:val="90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7374C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13048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Software musí disponovat schopností kopírovat body obnovy a replikovat VM do vzdálené lokality, obojí s možností využití WAN akcelerace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3B56138C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8B015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807BF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</w:tr>
      <w:tr w:rsidR="0032475C" w:rsidRPr="00CE6C9C" w14:paraId="0C74C5B2" w14:textId="77777777" w:rsidTr="00506DAF">
        <w:trPr>
          <w:trHeight w:val="60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40E89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E9489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Software podporuje funkcionalitu replikace VM mezi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ESXi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servery včetně asynchronní kontinuální replikace.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1FC4FB80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12C06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2C9CE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</w:tr>
      <w:tr w:rsidR="0032475C" w:rsidRPr="00CE6C9C" w14:paraId="15E36EAB" w14:textId="77777777" w:rsidTr="00506DAF">
        <w:trPr>
          <w:trHeight w:val="60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0F9AE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77502" w14:textId="2B2A1F2B" w:rsidR="0032475C" w:rsidRPr="00CE6C9C" w:rsidRDefault="0032475C" w:rsidP="00CE6C9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Výše zmíněná funkcionalita musí být dostupná i pro prostředí Hyper-V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1B209DAD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DC86B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E9128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</w:tr>
      <w:tr w:rsidR="0032475C" w:rsidRPr="00CE6C9C" w14:paraId="7C33CFCB" w14:textId="77777777" w:rsidTr="00506DAF">
        <w:trPr>
          <w:trHeight w:val="30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9665E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91297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Zálohovací soubory musí být možné využít jako zdroj pro replikaci VM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7DCB2104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E8173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9014D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</w:tr>
      <w:tr w:rsidR="0032475C" w:rsidRPr="00CE6C9C" w14:paraId="7B148A0E" w14:textId="77777777" w:rsidTr="00506DAF">
        <w:trPr>
          <w:trHeight w:val="30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7A35E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33A79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Software musí uchovávat více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restore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pointů replikovaných VM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70E6E7F4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D7E17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B1B56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</w:tr>
      <w:tr w:rsidR="0064364D" w:rsidRPr="00CE6C9C" w14:paraId="66BC4C27" w14:textId="77777777" w:rsidTr="00506DAF">
        <w:trPr>
          <w:trHeight w:val="60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34AFB" w14:textId="77777777" w:rsidR="0064364D" w:rsidRPr="00CE6C9C" w:rsidRDefault="0064364D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07F4F" w14:textId="167A3040" w:rsidR="0064364D" w:rsidRPr="00CE6C9C" w:rsidRDefault="0064364D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Software musí být schopen zálohovat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jakokoliv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dostupnou konektivitou na zdrojovou infrastrukturu. Musí tedy podporovat všechny zálohovací transportní režimy podporované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hypervisorem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(network,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hotadd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, direct SAN, direct NFS).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BA0EAC3" w14:textId="77777777" w:rsidR="0064364D" w:rsidRPr="00CE6C9C" w:rsidRDefault="0064364D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B3EB7" w14:textId="77777777" w:rsidR="0064364D" w:rsidRPr="00CE6C9C" w:rsidRDefault="0064364D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1C055" w14:textId="77777777" w:rsidR="0064364D" w:rsidRPr="00CE6C9C" w:rsidRDefault="0064364D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32475C" w:rsidRPr="00CE6C9C" w14:paraId="4D8C2D47" w14:textId="77777777" w:rsidTr="00506DAF">
        <w:trPr>
          <w:trHeight w:val="60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136CB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FDF63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Software musí podporovat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BlockClone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API pro Windows Server 2016 s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ReFS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file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systémem jako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backup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repository</w:t>
            </w:r>
            <w:proofErr w:type="spellEnd"/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6349CA68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6D1EC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011EA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</w:tr>
      <w:tr w:rsidR="0032475C" w:rsidRPr="00CE6C9C" w14:paraId="62CD589C" w14:textId="77777777" w:rsidTr="00506DAF">
        <w:trPr>
          <w:trHeight w:val="60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1CC85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FC7FB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Software podporuje možnost vytvářen „ad-hoc” záloh pomocí nativního klienta, nebo pomocí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vSphere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web klienta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4FA7D4D4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CB163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E2424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</w:tr>
      <w:tr w:rsidR="0032475C" w:rsidRPr="00CE6C9C" w14:paraId="0ACB8425" w14:textId="77777777" w:rsidTr="00506DAF">
        <w:trPr>
          <w:trHeight w:val="90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D4936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E9614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Proces zálohy musí podporovat paralelní zpracování VM a jejich virtuálních disků včetně možnosti paralelní obnovy virtuálních disků ve full VM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restore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módu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035041AE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45D78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29359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</w:tr>
      <w:tr w:rsidR="0032475C" w:rsidRPr="00CE6C9C" w14:paraId="1FD0C42F" w14:textId="77777777" w:rsidTr="00506DAF">
        <w:trPr>
          <w:trHeight w:val="900"/>
        </w:trPr>
        <w:tc>
          <w:tcPr>
            <w:tcW w:w="1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92581" w14:textId="77777777" w:rsidR="0032475C" w:rsidRPr="00CE6C9C" w:rsidRDefault="0032475C" w:rsidP="0032475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Požadavky na RPO (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Recovery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Point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lastRenderedPageBreak/>
              <w:t>Objective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) - obnova</w:t>
            </w: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0AA31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lastRenderedPageBreak/>
              <w:t>Software musí umožňovat okamžitou obnovu více virtuálních strojů bez nutnosti kopírování dat na produkční datové úložiště z libovolného bodu obnovy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7DCDFBF4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7BDE5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CD693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</w:tr>
      <w:tr w:rsidR="0032475C" w:rsidRPr="00CE6C9C" w14:paraId="72C10172" w14:textId="77777777" w:rsidTr="00506DAF">
        <w:trPr>
          <w:trHeight w:val="30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2FF71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E46A7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Podobná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funcionalita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musí být dostupná také pro prostředí Hyper-V.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73B93BC6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7033B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3C247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</w:tr>
      <w:tr w:rsidR="0032475C" w:rsidRPr="00CE6C9C" w14:paraId="7F60D8AE" w14:textId="77777777" w:rsidTr="00506DAF">
        <w:trPr>
          <w:trHeight w:val="120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162BB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58490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VM spuštěné v režimu okamžité obnovy musí být možné migrovat on-line s využitím vlastností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hypervisoru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. V případě, že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hypervisor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tuto technologii nepodporuje, software musí využít vlastní technologii pro online migraci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148B600E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0C776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0D38E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</w:tr>
      <w:tr w:rsidR="0032475C" w:rsidRPr="00CE6C9C" w14:paraId="7384B78E" w14:textId="77777777" w:rsidTr="00506DAF">
        <w:trPr>
          <w:trHeight w:val="60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59335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D25CD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Software podporuje obnovu celé VM, souborů VM, nebo virtuálních disků VM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0930299B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8C3CD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C548F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</w:tr>
      <w:tr w:rsidR="0032475C" w:rsidRPr="00CE6C9C" w14:paraId="616E6544" w14:textId="77777777" w:rsidTr="00506DAF">
        <w:trPr>
          <w:trHeight w:val="30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2B8F9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F01FF" w14:textId="1F0C8013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Software musí umožnit obnovu</w:t>
            </w:r>
            <w:r w:rsidR="0048106C"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souborů do původní nebo jiné lo</w:t>
            </w: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kality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4BFC6FCC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9CEFC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66646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</w:tr>
      <w:tr w:rsidR="0032475C" w:rsidRPr="00CE6C9C" w14:paraId="7ABBFBFB" w14:textId="77777777" w:rsidTr="00506DAF">
        <w:trPr>
          <w:trHeight w:val="60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FD9BD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1010D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Software </w:t>
            </w:r>
            <w:proofErr w:type="gram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musí</w:t>
            </w:r>
            <w:proofErr w:type="gram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umožňovat obnovu VM přímo do prostředí Microsoft </w:t>
            </w:r>
            <w:proofErr w:type="gram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Azure</w:t>
            </w:r>
            <w:proofErr w:type="gramEnd"/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30521DF3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3BF07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461E1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</w:tr>
      <w:tr w:rsidR="0032475C" w:rsidRPr="00CE6C9C" w14:paraId="2D0C6C94" w14:textId="77777777" w:rsidTr="00506DAF">
        <w:trPr>
          <w:trHeight w:val="60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EC725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A8CC3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Software musí podporovat obnovu souborů z Linux LVM a Windows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Storage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Spaces</w:t>
            </w:r>
            <w:proofErr w:type="spellEnd"/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66270920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60D3C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66CE5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</w:tr>
      <w:tr w:rsidR="0032475C" w:rsidRPr="00CE6C9C" w14:paraId="73895FBB" w14:textId="77777777" w:rsidTr="00506DAF">
        <w:trPr>
          <w:trHeight w:val="60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E3D03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76E5C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Software musí umožňovat okamžitou granulární obnovu aplikačních položek bez nutnosti instalovat agenta do VM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6601AA31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B13C8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2D4C6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</w:tr>
      <w:tr w:rsidR="0032475C" w:rsidRPr="00CE6C9C" w14:paraId="14FE9D68" w14:textId="77777777" w:rsidTr="00506DAF">
        <w:trPr>
          <w:trHeight w:val="90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A84C9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51CF7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Software musí podporovat granulární obnovu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Active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Directory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(jakýkoliv objekt, jakýkoliv atribut, obnova uživatelského účtu včetně hesla, GPO, AD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configuration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Partition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) a integrovaných DNS záznamů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1AA4F2A5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D5F49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D47F7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</w:tr>
      <w:tr w:rsidR="0032475C" w:rsidRPr="00CE6C9C" w14:paraId="6A6E477D" w14:textId="77777777" w:rsidTr="00506DAF">
        <w:trPr>
          <w:trHeight w:val="120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96DFC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D0FCC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Software musí podporovat granulární obnovu Microsoft Exchange 2016 a novější (jakýkoliv objekt včetně jednotlivých e-mailových správ, kontaktů, úkolů, či objektů z adresáře „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Permanently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Deleted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Objects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”)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0FC3E83E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151E9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04B1C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</w:tr>
      <w:tr w:rsidR="0032475C" w:rsidRPr="00CE6C9C" w14:paraId="714A8447" w14:textId="77777777" w:rsidTr="00506DAF">
        <w:trPr>
          <w:trHeight w:val="90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969D8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E385F" w14:textId="69F9B1E2" w:rsidR="0032475C" w:rsidRPr="00CE6C9C" w:rsidRDefault="0032475C" w:rsidP="00CE6C9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Software musí podporovat obnovu Microsoft SQL 2008 a novější (database s možností point-in-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time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recovery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, obnova na úrovn</w:t>
            </w:r>
            <w:r w:rsid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i</w:t>
            </w: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tabulek a schémat)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71655120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636CE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1522E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</w:tr>
      <w:tr w:rsidR="004E21FC" w:rsidRPr="00CE6C9C" w14:paraId="3C34B8F0" w14:textId="77777777" w:rsidTr="00506DAF">
        <w:trPr>
          <w:trHeight w:val="90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F60B8" w14:textId="77777777" w:rsidR="004E21FC" w:rsidRPr="00CE6C9C" w:rsidRDefault="004E21F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E700E" w14:textId="6E608D60" w:rsidR="004E21FC" w:rsidRPr="00CE6C9C" w:rsidRDefault="004E21FC" w:rsidP="004E21F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Musí podporovat obnovu Microsoft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Sharepoint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Server 2010 a novější (full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site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recovery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, objekty a položky uložené v SharePoint serveru)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48D6A48" w14:textId="77777777" w:rsidR="004E21FC" w:rsidRPr="00CE6C9C" w:rsidRDefault="004E21F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3118A" w14:textId="77777777" w:rsidR="004E21FC" w:rsidRPr="00CE6C9C" w:rsidRDefault="004E21F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4BC9E" w14:textId="77777777" w:rsidR="004E21FC" w:rsidRPr="00CE6C9C" w:rsidRDefault="004E21F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32475C" w:rsidRPr="00CE6C9C" w14:paraId="374FFC95" w14:textId="77777777" w:rsidTr="00506DAF">
        <w:trPr>
          <w:trHeight w:val="90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18244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F48E3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Software musí podporovat granulární obnovu databází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Oracle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běžících nad Linux a Windows OS (obnova v režimu point-in-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time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, obnova tabulek)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338C12AB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4FAAC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15612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</w:tr>
      <w:tr w:rsidR="0032475C" w:rsidRPr="00CE6C9C" w14:paraId="4026C61C" w14:textId="77777777" w:rsidTr="00506DAF">
        <w:trPr>
          <w:trHeight w:val="60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9A657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F12A7" w14:textId="160C6F85" w:rsidR="0032475C" w:rsidRPr="00CE6C9C" w:rsidRDefault="0032475C" w:rsidP="00030CE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Výše zmíněné funkcionality granulární o</w:t>
            </w:r>
            <w:r w:rsidR="00030CED"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bnovy nevyžadují obnovu celého v</w:t>
            </w: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irtuálního </w:t>
            </w:r>
            <w:r w:rsidR="00030CED"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s</w:t>
            </w: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troje nebo jeho zapnutí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2ACB493E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58851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B7F7D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</w:tr>
      <w:tr w:rsidR="0032475C" w:rsidRPr="00CE6C9C" w14:paraId="108DE313" w14:textId="77777777" w:rsidTr="00506DAF">
        <w:trPr>
          <w:trHeight w:val="60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B0900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4FCE6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Software musí umožňovat indexaci souborů z Microsoft Windows a Linux VM, která poskytuje rychlé vyhledávání souborů ze záloh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15C6CA5D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E1E37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9E1F1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</w:tr>
      <w:tr w:rsidR="004F731E" w:rsidRPr="00CE6C9C" w14:paraId="0231289D" w14:textId="77777777" w:rsidTr="00506DAF">
        <w:trPr>
          <w:trHeight w:val="30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6D3A9" w14:textId="77777777" w:rsidR="004F731E" w:rsidRPr="00CE6C9C" w:rsidRDefault="004F731E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2C3FA" w14:textId="44DA5D64" w:rsidR="004F731E" w:rsidRPr="00CE6C9C" w:rsidRDefault="004F731E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Software musí využívat mechanismus VSS zabudovaný v Microsoft Windows OS vždy, když je to možné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6250F88" w14:textId="77777777" w:rsidR="004F731E" w:rsidRPr="00CE6C9C" w:rsidRDefault="004F731E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1B9B5" w14:textId="77777777" w:rsidR="004F731E" w:rsidRPr="00CE6C9C" w:rsidRDefault="004F731E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E44C6" w14:textId="77777777" w:rsidR="004F731E" w:rsidRPr="00CE6C9C" w:rsidRDefault="004F731E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4F731E" w:rsidRPr="00CE6C9C" w14:paraId="5C2BB7D8" w14:textId="77777777" w:rsidTr="00506DAF">
        <w:trPr>
          <w:trHeight w:val="30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929AB" w14:textId="77777777" w:rsidR="004F731E" w:rsidRPr="00CE6C9C" w:rsidRDefault="004F731E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06C39" w14:textId="3042642F" w:rsidR="004F731E" w:rsidRPr="00CE6C9C" w:rsidRDefault="004F731E" w:rsidP="00CE6C9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Software musí umožnit obnovu VM z hardware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snapshot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z podporovaných diskových polí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6249E27" w14:textId="77777777" w:rsidR="004F731E" w:rsidRPr="00CE6C9C" w:rsidRDefault="004F731E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3F0AC" w14:textId="77777777" w:rsidR="004F731E" w:rsidRPr="00CE6C9C" w:rsidRDefault="004F731E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4BA4A" w14:textId="77777777" w:rsidR="004F731E" w:rsidRPr="00CE6C9C" w:rsidRDefault="004F731E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32475C" w:rsidRPr="00CE6C9C" w14:paraId="6C7B0C20" w14:textId="77777777" w:rsidTr="00506DAF">
        <w:trPr>
          <w:trHeight w:val="30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D0195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27503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Software musí podporovat „reverse CBT” a direct SAN obnovy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1F8FE3A9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D8FA0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BE708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</w:tr>
      <w:tr w:rsidR="0032475C" w:rsidRPr="00CE6C9C" w14:paraId="2C6EAE30" w14:textId="77777777" w:rsidTr="00506DAF">
        <w:trPr>
          <w:trHeight w:val="600"/>
        </w:trPr>
        <w:tc>
          <w:tcPr>
            <w:tcW w:w="1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D08F5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Předcházení rizik</w:t>
            </w: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D770C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Software musí poskytovat možnost vytvářet izolované prostředí pro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VMware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a Hyper-V infrastrukturu spouštěním VM přímo ze zálohy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1BECCB3F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DF917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9D2F3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</w:tr>
      <w:tr w:rsidR="0032475C" w:rsidRPr="00CE6C9C" w14:paraId="22C4CE31" w14:textId="77777777" w:rsidTr="00506DAF">
        <w:trPr>
          <w:trHeight w:val="174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D2F4C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C3181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Software musí mít mechanismus pro ověřování záloh, umožňující testování obnovitelnosti VM v izolovaném prostředí pro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VMware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a Hyper-V. Verifikace musí být možné spouštět v časovém plánu a musí být plně automatizované. Ověření obnovitelnosti musí zahrnovat dostupnost VM po síti a volitelně i dostupnost jednotlivých služeb aplikací, či databází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0FF3F2DD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8C953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0421A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</w:tr>
      <w:tr w:rsidR="0032475C" w:rsidRPr="00CE6C9C" w14:paraId="118401B1" w14:textId="77777777" w:rsidTr="00506DAF">
        <w:trPr>
          <w:trHeight w:val="60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6F342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F136D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Podobný mechanismus musí být podporován i pro replikované VM v prostředí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VMWare</w:t>
            </w:r>
            <w:proofErr w:type="spellEnd"/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4CA91E87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50A65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C8701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</w:tr>
      <w:tr w:rsidR="0032475C" w:rsidRPr="00CE6C9C" w14:paraId="7D701A90" w14:textId="77777777" w:rsidTr="00506DAF">
        <w:trPr>
          <w:trHeight w:val="1200"/>
        </w:trPr>
        <w:tc>
          <w:tcPr>
            <w:tcW w:w="1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1714A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Licence</w:t>
            </w: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3FCAD" w14:textId="3E531554" w:rsidR="0032475C" w:rsidRPr="00CE6C9C" w:rsidRDefault="0032475C" w:rsidP="00EE0EE0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Software </w:t>
            </w:r>
            <w:r w:rsidR="00525234"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pro </w:t>
            </w:r>
            <w:proofErr w:type="spellStart"/>
            <w:r w:rsidR="00525234"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virtualizaci</w:t>
            </w:r>
            <w:proofErr w:type="spellEnd"/>
            <w:r w:rsidR="00525234"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musí být licencován modelem „per CPU”. Všechny vlastnosti a komponenty popsané v tomto dokumentu musí být součástí ceny. Software nesmí nést další licenční náklady (per TB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protected</w:t>
            </w:r>
            <w:proofErr w:type="spellEnd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, zvlášť licencovaná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deduplikace</w:t>
            </w:r>
            <w:proofErr w:type="spellEnd"/>
            <w:r w:rsidR="00DD12A0"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, licence pro páskovou knihovnu</w:t>
            </w: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573135B0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58DA9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85560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</w:tr>
      <w:tr w:rsidR="00B42B76" w:rsidRPr="00CE6C9C" w14:paraId="12954A33" w14:textId="77777777" w:rsidTr="00506DAF">
        <w:trPr>
          <w:trHeight w:val="30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7449D" w14:textId="77777777" w:rsidR="00B42B76" w:rsidRPr="00CE6C9C" w:rsidRDefault="00B42B76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02F66" w14:textId="62C53F3E" w:rsidR="00B42B76" w:rsidRPr="00CE6C9C" w:rsidRDefault="00B42B76" w:rsidP="00B42B7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Licencování nabízeného řešení nesmí být závislé na objemu zálohovaných dat, nebo objemu dat uložených v zálohách.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6073944" w14:textId="77777777" w:rsidR="00B42B76" w:rsidRPr="00CE6C9C" w:rsidRDefault="00B42B76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CBE0C" w14:textId="77777777" w:rsidR="00B42B76" w:rsidRPr="00CE6C9C" w:rsidRDefault="00B42B76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38BC1" w14:textId="77777777" w:rsidR="00B42B76" w:rsidRPr="00CE6C9C" w:rsidRDefault="00B42B76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32475C" w:rsidRPr="00CE6C9C" w14:paraId="169618A2" w14:textId="77777777" w:rsidTr="00506DAF">
        <w:trPr>
          <w:trHeight w:val="30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80C95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79D26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Licence nesmí být omezena na počet virtuálních serverů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67E49FA8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DDC9A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4E15B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</w:tr>
      <w:tr w:rsidR="00DE3CD3" w:rsidRPr="00CE6C9C" w14:paraId="7D4AC9B3" w14:textId="77777777" w:rsidTr="00506DAF">
        <w:trPr>
          <w:trHeight w:val="30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5A305" w14:textId="77777777" w:rsidR="00DE3CD3" w:rsidRPr="00CE6C9C" w:rsidRDefault="00DE3CD3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BCABC" w14:textId="5E998EC5" w:rsidR="00DE3CD3" w:rsidRPr="00CE6C9C" w:rsidRDefault="00DE3CD3" w:rsidP="00CD2E4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Požadujeme dodání </w:t>
            </w:r>
            <w:r w:rsidR="00CD2E4E"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8</w:t>
            </w: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licencí</w:t>
            </w:r>
            <w:r w:rsidR="00506DAF"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pro </w:t>
            </w:r>
            <w:proofErr w:type="spellStart"/>
            <w:r w:rsidR="00506DAF"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virtualizaci</w:t>
            </w:r>
            <w:proofErr w:type="spellEnd"/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06D78EC" w14:textId="77777777" w:rsidR="00DE3CD3" w:rsidRPr="00CE6C9C" w:rsidRDefault="00DE3CD3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4BB6B" w14:textId="77777777" w:rsidR="00DE3CD3" w:rsidRPr="00CE6C9C" w:rsidRDefault="00DE3CD3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6CEDC" w14:textId="77777777" w:rsidR="00DE3CD3" w:rsidRPr="00CE6C9C" w:rsidRDefault="00DE3CD3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32475C" w:rsidRPr="00CE6C9C" w14:paraId="540D2AFF" w14:textId="77777777" w:rsidTr="00506DAF">
        <w:trPr>
          <w:trHeight w:val="30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BB7A6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12901" w14:textId="6AFE3F7B" w:rsidR="0032475C" w:rsidRPr="00CE6C9C" w:rsidRDefault="00402A3D" w:rsidP="00402A3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Požadujeme dodání 2 licencí pro</w:t>
            </w:r>
            <w:r w:rsidR="001A5D46"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2</w:t>
            </w: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fyzické servery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6C8EF310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F95A3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C6C8D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</w:tr>
      <w:tr w:rsidR="0032475C" w:rsidRPr="00CE6C9C" w14:paraId="111D8FF2" w14:textId="77777777" w:rsidTr="00506DAF">
        <w:trPr>
          <w:trHeight w:val="300"/>
        </w:trPr>
        <w:tc>
          <w:tcPr>
            <w:tcW w:w="1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7674F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Požadavky na záruku a servis</w:t>
            </w: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3000B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Požadujeme dodání podpory výrobce v délce trvání min. 5 let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5CA55E44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E405A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79AE1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</w:tr>
      <w:tr w:rsidR="0032475C" w:rsidRPr="00CE6C9C" w14:paraId="72E0FB2E" w14:textId="77777777" w:rsidTr="00506DAF">
        <w:trPr>
          <w:trHeight w:val="60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7E11A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3600A" w14:textId="186EFE1B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Technická podpora musí být dostupná v České republice a v českém jazyce </w:t>
            </w:r>
            <w:r w:rsidR="007F2549"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prostřednictvím telefonu </w:t>
            </w: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v režimu 9x5</w:t>
            </w:r>
            <w:r w:rsidR="007F2549"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a prostřednictvím </w:t>
            </w:r>
            <w:proofErr w:type="spellStart"/>
            <w:r w:rsidR="007F2549"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servicedesku</w:t>
            </w:r>
            <w:proofErr w:type="spellEnd"/>
            <w:r w:rsidR="007F2549"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v režimu 24 x7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3DB81EF3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81669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09496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 </w:t>
            </w:r>
          </w:p>
        </w:tc>
      </w:tr>
      <w:tr w:rsidR="0032475C" w:rsidRPr="00CE6C9C" w14:paraId="27D833B4" w14:textId="77777777" w:rsidTr="00506DAF">
        <w:trPr>
          <w:trHeight w:val="765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118DC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38137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Podpora musí být dodána a garantována jako celek výrobcem software včetně zajištění dodávky </w:t>
            </w:r>
            <w:proofErr w:type="spellStart"/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helpdesku</w:t>
            </w:r>
            <w:proofErr w:type="spellEnd"/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76B11E40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28673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Uveďte přesné označení servisní garance poskytnuté výrobcem zařízení a jeho parametry formou katalogového listu služby.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00"/>
            <w:vAlign w:val="bottom"/>
            <w:hideMark/>
          </w:tcPr>
          <w:p w14:paraId="244C8D5F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EB19BB" w:rsidRPr="00CE6C9C" w14:paraId="48CF88F9" w14:textId="77777777" w:rsidTr="00506DAF">
        <w:trPr>
          <w:trHeight w:val="765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42380" w14:textId="77777777" w:rsidR="00EB19BB" w:rsidRPr="00CE6C9C" w:rsidRDefault="00EB19BB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2AFC1" w14:textId="31C62DC3" w:rsidR="00EB19BB" w:rsidRPr="00CE6C9C" w:rsidRDefault="00EB19BB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Ročně je poskytována konzultační činnost v rozsahu 10 hodin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586D592D" w14:textId="77777777" w:rsidR="00EB19BB" w:rsidRPr="00CE6C9C" w:rsidRDefault="00EB19BB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2F9EC" w14:textId="77777777" w:rsidR="00EB19BB" w:rsidRPr="00CE6C9C" w:rsidRDefault="00EB19BB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AC61F" w14:textId="77777777" w:rsidR="00EB19BB" w:rsidRPr="00CE6C9C" w:rsidRDefault="00EB19BB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32475C" w:rsidRPr="00CE6C9C" w14:paraId="594AAEC8" w14:textId="77777777" w:rsidTr="00506DAF">
        <w:trPr>
          <w:trHeight w:val="102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45117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7AAE2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sz w:val="20"/>
                <w:szCs w:val="20"/>
                <w:lang w:eastAsia="cs-CZ"/>
              </w:rPr>
              <w:t>Podpora výrobce se musí v celé délce trvání vztahovat na veškerou softwarovou výbavu, která je součástí dodávky. Součástí dodávky musí být zajištění přístupu k aktualizacím a novým verzím veškerého software, který je součástí dodávky.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9937D89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3DE04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91300" w14:textId="77777777" w:rsidR="0032475C" w:rsidRPr="00CE6C9C" w:rsidRDefault="0032475C" w:rsidP="0032475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E6C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</w:tbl>
    <w:p w14:paraId="6ED1A5BF" w14:textId="77777777" w:rsidR="0032475C" w:rsidRPr="00CE6C9C" w:rsidRDefault="0032475C" w:rsidP="00FC15A7">
      <w:pPr>
        <w:rPr>
          <w:sz w:val="20"/>
          <w:szCs w:val="20"/>
        </w:rPr>
      </w:pPr>
    </w:p>
    <w:p w14:paraId="2E4C06AF" w14:textId="78B263E6" w:rsidR="00B104C4" w:rsidRPr="00CE6C9C" w:rsidRDefault="00B104C4" w:rsidP="00FC15A7">
      <w:pPr>
        <w:rPr>
          <w:b/>
          <w:sz w:val="20"/>
          <w:szCs w:val="20"/>
        </w:rPr>
      </w:pPr>
    </w:p>
    <w:p w14:paraId="6EAF5AC0" w14:textId="77777777" w:rsidR="00B104C4" w:rsidRPr="00CE6C9C" w:rsidRDefault="00B104C4" w:rsidP="00FC15A7">
      <w:pPr>
        <w:rPr>
          <w:b/>
          <w:sz w:val="20"/>
          <w:szCs w:val="20"/>
        </w:rPr>
      </w:pPr>
    </w:p>
    <w:sectPr w:rsidR="00B104C4" w:rsidRPr="00CE6C9C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5276C3" w14:textId="77777777" w:rsidR="006B3B76" w:rsidRDefault="006B3B76" w:rsidP="000125C8">
      <w:pPr>
        <w:spacing w:after="0" w:line="240" w:lineRule="auto"/>
      </w:pPr>
      <w:r>
        <w:separator/>
      </w:r>
    </w:p>
  </w:endnote>
  <w:endnote w:type="continuationSeparator" w:id="0">
    <w:p w14:paraId="164ED389" w14:textId="77777777" w:rsidR="006B3B76" w:rsidRDefault="006B3B76" w:rsidP="00012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4640263"/>
      <w:docPartObj>
        <w:docPartGallery w:val="Page Numbers (Bottom of Page)"/>
        <w:docPartUnique/>
      </w:docPartObj>
    </w:sdtPr>
    <w:sdtEndPr/>
    <w:sdtContent>
      <w:p w14:paraId="7C83F62D" w14:textId="6F474080" w:rsidR="006B3B76" w:rsidRDefault="006B3B7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C9C">
          <w:rPr>
            <w:noProof/>
          </w:rPr>
          <w:t>1</w:t>
        </w:r>
        <w:r>
          <w:fldChar w:fldCharType="end"/>
        </w:r>
      </w:p>
    </w:sdtContent>
  </w:sdt>
  <w:p w14:paraId="6D8807CB" w14:textId="77777777" w:rsidR="006B3B76" w:rsidRDefault="006B3B7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8C230C" w14:textId="77777777" w:rsidR="006B3B76" w:rsidRDefault="006B3B76" w:rsidP="000125C8">
      <w:pPr>
        <w:spacing w:after="0" w:line="240" w:lineRule="auto"/>
      </w:pPr>
      <w:r>
        <w:separator/>
      </w:r>
    </w:p>
  </w:footnote>
  <w:footnote w:type="continuationSeparator" w:id="0">
    <w:p w14:paraId="6DF79E8D" w14:textId="77777777" w:rsidR="006B3B76" w:rsidRDefault="006B3B76" w:rsidP="000125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A74F8"/>
    <w:multiLevelType w:val="hybridMultilevel"/>
    <w:tmpl w:val="BF7A4AC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17C28"/>
    <w:multiLevelType w:val="hybridMultilevel"/>
    <w:tmpl w:val="8B667490"/>
    <w:lvl w:ilvl="0" w:tplc="2020B1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6A069E"/>
    <w:multiLevelType w:val="hybridMultilevel"/>
    <w:tmpl w:val="99944564"/>
    <w:lvl w:ilvl="0" w:tplc="05D4D3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682299"/>
    <w:multiLevelType w:val="hybridMultilevel"/>
    <w:tmpl w:val="1F1849E6"/>
    <w:lvl w:ilvl="0" w:tplc="F45AAD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1F428A"/>
    <w:multiLevelType w:val="hybridMultilevel"/>
    <w:tmpl w:val="C1B24B86"/>
    <w:lvl w:ilvl="0" w:tplc="F45AAD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600"/>
    <w:rsid w:val="00003428"/>
    <w:rsid w:val="000125C8"/>
    <w:rsid w:val="00026D42"/>
    <w:rsid w:val="00030CED"/>
    <w:rsid w:val="0006616D"/>
    <w:rsid w:val="00093130"/>
    <w:rsid w:val="000940C7"/>
    <w:rsid w:val="000C1E99"/>
    <w:rsid w:val="000D11D8"/>
    <w:rsid w:val="000D5A1D"/>
    <w:rsid w:val="000D787C"/>
    <w:rsid w:val="000D7A89"/>
    <w:rsid w:val="00106B7C"/>
    <w:rsid w:val="00112ACC"/>
    <w:rsid w:val="00115CF8"/>
    <w:rsid w:val="00130D36"/>
    <w:rsid w:val="00155F96"/>
    <w:rsid w:val="0019609B"/>
    <w:rsid w:val="001A5D46"/>
    <w:rsid w:val="001C7AA9"/>
    <w:rsid w:val="001D5BD5"/>
    <w:rsid w:val="00216921"/>
    <w:rsid w:val="00216CC7"/>
    <w:rsid w:val="00287995"/>
    <w:rsid w:val="00293D30"/>
    <w:rsid w:val="00295612"/>
    <w:rsid w:val="002A040C"/>
    <w:rsid w:val="002A2F7B"/>
    <w:rsid w:val="002A3E94"/>
    <w:rsid w:val="002B24A3"/>
    <w:rsid w:val="002B79AB"/>
    <w:rsid w:val="002D72B1"/>
    <w:rsid w:val="0032475C"/>
    <w:rsid w:val="00331FF5"/>
    <w:rsid w:val="00352B54"/>
    <w:rsid w:val="003819EA"/>
    <w:rsid w:val="00393437"/>
    <w:rsid w:val="003A1542"/>
    <w:rsid w:val="003C2201"/>
    <w:rsid w:val="003C25D9"/>
    <w:rsid w:val="003F4760"/>
    <w:rsid w:val="00402A3D"/>
    <w:rsid w:val="0042089E"/>
    <w:rsid w:val="00430802"/>
    <w:rsid w:val="00434F07"/>
    <w:rsid w:val="00462711"/>
    <w:rsid w:val="00470893"/>
    <w:rsid w:val="0048106C"/>
    <w:rsid w:val="00493021"/>
    <w:rsid w:val="00494A58"/>
    <w:rsid w:val="004B5A8A"/>
    <w:rsid w:val="004B5D65"/>
    <w:rsid w:val="004D6FA4"/>
    <w:rsid w:val="004E21FC"/>
    <w:rsid w:val="004F731E"/>
    <w:rsid w:val="0050199F"/>
    <w:rsid w:val="00506DAF"/>
    <w:rsid w:val="00512EA9"/>
    <w:rsid w:val="00514410"/>
    <w:rsid w:val="00516406"/>
    <w:rsid w:val="00522DEC"/>
    <w:rsid w:val="00525234"/>
    <w:rsid w:val="00571697"/>
    <w:rsid w:val="0057189F"/>
    <w:rsid w:val="00577205"/>
    <w:rsid w:val="00587FBE"/>
    <w:rsid w:val="005C66DA"/>
    <w:rsid w:val="005D1F28"/>
    <w:rsid w:val="005F79A3"/>
    <w:rsid w:val="00603A16"/>
    <w:rsid w:val="00616D47"/>
    <w:rsid w:val="00620720"/>
    <w:rsid w:val="00633A82"/>
    <w:rsid w:val="0064364D"/>
    <w:rsid w:val="00644D54"/>
    <w:rsid w:val="00647EFA"/>
    <w:rsid w:val="00661DC7"/>
    <w:rsid w:val="00663806"/>
    <w:rsid w:val="006664E3"/>
    <w:rsid w:val="00671165"/>
    <w:rsid w:val="00674F62"/>
    <w:rsid w:val="0069014A"/>
    <w:rsid w:val="00693989"/>
    <w:rsid w:val="006A7D7E"/>
    <w:rsid w:val="006B3B76"/>
    <w:rsid w:val="006B3DEA"/>
    <w:rsid w:val="006E6B04"/>
    <w:rsid w:val="006F7A97"/>
    <w:rsid w:val="00700EF3"/>
    <w:rsid w:val="007204C9"/>
    <w:rsid w:val="007212D0"/>
    <w:rsid w:val="007561C1"/>
    <w:rsid w:val="00766F7A"/>
    <w:rsid w:val="00772DA3"/>
    <w:rsid w:val="00785C5E"/>
    <w:rsid w:val="007A2A07"/>
    <w:rsid w:val="007A3E45"/>
    <w:rsid w:val="007D4C9E"/>
    <w:rsid w:val="007F2549"/>
    <w:rsid w:val="008250C7"/>
    <w:rsid w:val="0086364C"/>
    <w:rsid w:val="00863945"/>
    <w:rsid w:val="00864D82"/>
    <w:rsid w:val="00893812"/>
    <w:rsid w:val="008A0FB5"/>
    <w:rsid w:val="008A48FD"/>
    <w:rsid w:val="008B7FBC"/>
    <w:rsid w:val="008C320D"/>
    <w:rsid w:val="008C678C"/>
    <w:rsid w:val="008D2763"/>
    <w:rsid w:val="008E1099"/>
    <w:rsid w:val="009005E7"/>
    <w:rsid w:val="00901829"/>
    <w:rsid w:val="00933D0B"/>
    <w:rsid w:val="009427F4"/>
    <w:rsid w:val="00942BBF"/>
    <w:rsid w:val="00945BCD"/>
    <w:rsid w:val="00950CC5"/>
    <w:rsid w:val="00955AFF"/>
    <w:rsid w:val="00956F5E"/>
    <w:rsid w:val="00960564"/>
    <w:rsid w:val="00972F01"/>
    <w:rsid w:val="0098014B"/>
    <w:rsid w:val="00983542"/>
    <w:rsid w:val="009A76EB"/>
    <w:rsid w:val="009A7EEE"/>
    <w:rsid w:val="00A02F0C"/>
    <w:rsid w:val="00A038EE"/>
    <w:rsid w:val="00A16600"/>
    <w:rsid w:val="00A2448F"/>
    <w:rsid w:val="00A37137"/>
    <w:rsid w:val="00A43327"/>
    <w:rsid w:val="00A56023"/>
    <w:rsid w:val="00A63822"/>
    <w:rsid w:val="00AD40FB"/>
    <w:rsid w:val="00AF4F4A"/>
    <w:rsid w:val="00B104C4"/>
    <w:rsid w:val="00B158EB"/>
    <w:rsid w:val="00B16AAC"/>
    <w:rsid w:val="00B27FCD"/>
    <w:rsid w:val="00B348FE"/>
    <w:rsid w:val="00B42B76"/>
    <w:rsid w:val="00B61BD9"/>
    <w:rsid w:val="00B63F86"/>
    <w:rsid w:val="00B75A81"/>
    <w:rsid w:val="00B91A9C"/>
    <w:rsid w:val="00B94404"/>
    <w:rsid w:val="00B96B88"/>
    <w:rsid w:val="00BA4F2A"/>
    <w:rsid w:val="00BB36BF"/>
    <w:rsid w:val="00BB4BA8"/>
    <w:rsid w:val="00BC5EB2"/>
    <w:rsid w:val="00BD1B85"/>
    <w:rsid w:val="00BD22B1"/>
    <w:rsid w:val="00C13166"/>
    <w:rsid w:val="00C36D9D"/>
    <w:rsid w:val="00C44DB7"/>
    <w:rsid w:val="00C51F6D"/>
    <w:rsid w:val="00C6126D"/>
    <w:rsid w:val="00C66FDB"/>
    <w:rsid w:val="00CA3D41"/>
    <w:rsid w:val="00CB4FE7"/>
    <w:rsid w:val="00CC70CC"/>
    <w:rsid w:val="00CD2E4E"/>
    <w:rsid w:val="00CD5E88"/>
    <w:rsid w:val="00CE1F5F"/>
    <w:rsid w:val="00CE387B"/>
    <w:rsid w:val="00CE6C9C"/>
    <w:rsid w:val="00CF564D"/>
    <w:rsid w:val="00D22B92"/>
    <w:rsid w:val="00D73D7C"/>
    <w:rsid w:val="00D752E6"/>
    <w:rsid w:val="00D9770C"/>
    <w:rsid w:val="00DA3460"/>
    <w:rsid w:val="00DA4ED9"/>
    <w:rsid w:val="00DC0A54"/>
    <w:rsid w:val="00DC708B"/>
    <w:rsid w:val="00DC7654"/>
    <w:rsid w:val="00DD12A0"/>
    <w:rsid w:val="00DE3CD3"/>
    <w:rsid w:val="00DE4E5A"/>
    <w:rsid w:val="00E14E52"/>
    <w:rsid w:val="00E4071B"/>
    <w:rsid w:val="00E51CD0"/>
    <w:rsid w:val="00E61145"/>
    <w:rsid w:val="00EB19BB"/>
    <w:rsid w:val="00EE0EE0"/>
    <w:rsid w:val="00EF333C"/>
    <w:rsid w:val="00EF7A46"/>
    <w:rsid w:val="00F04C58"/>
    <w:rsid w:val="00F10E35"/>
    <w:rsid w:val="00F41803"/>
    <w:rsid w:val="00F43AB5"/>
    <w:rsid w:val="00F54081"/>
    <w:rsid w:val="00F57B61"/>
    <w:rsid w:val="00F60F46"/>
    <w:rsid w:val="00F73663"/>
    <w:rsid w:val="00F94ACC"/>
    <w:rsid w:val="00FA0431"/>
    <w:rsid w:val="00FA1782"/>
    <w:rsid w:val="00FC15A7"/>
    <w:rsid w:val="00FD2EDF"/>
    <w:rsid w:val="00FE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8E659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208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B79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A3E4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089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42089E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2B79A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A3E4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Mkatabulky">
    <w:name w:val="Table Grid"/>
    <w:basedOn w:val="Normlntabulka"/>
    <w:uiPriority w:val="39"/>
    <w:rsid w:val="00470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tltabulkasmkou1zvraznn11">
    <w:name w:val="Světlá tabulka s mřížkou 1 – zvýraznění 11"/>
    <w:basedOn w:val="Normlntabulka"/>
    <w:uiPriority w:val="46"/>
    <w:rsid w:val="00470893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Zhlav">
    <w:name w:val="header"/>
    <w:basedOn w:val="Normln"/>
    <w:link w:val="ZhlavChar"/>
    <w:uiPriority w:val="99"/>
    <w:unhideWhenUsed/>
    <w:rsid w:val="00012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125C8"/>
  </w:style>
  <w:style w:type="paragraph" w:styleId="Zpat">
    <w:name w:val="footer"/>
    <w:basedOn w:val="Normln"/>
    <w:link w:val="ZpatChar"/>
    <w:uiPriority w:val="99"/>
    <w:unhideWhenUsed/>
    <w:rsid w:val="00012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25C8"/>
  </w:style>
  <w:style w:type="paragraph" w:styleId="Textbubliny">
    <w:name w:val="Balloon Text"/>
    <w:basedOn w:val="Normln"/>
    <w:link w:val="TextbublinyChar"/>
    <w:uiPriority w:val="99"/>
    <w:semiHidden/>
    <w:unhideWhenUsed/>
    <w:rsid w:val="00616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6D4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16D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16D4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16D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16D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16D47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933D0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208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B79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A3E4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089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42089E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2B79A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A3E4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Mkatabulky">
    <w:name w:val="Table Grid"/>
    <w:basedOn w:val="Normlntabulka"/>
    <w:uiPriority w:val="39"/>
    <w:rsid w:val="00470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tltabulkasmkou1zvraznn11">
    <w:name w:val="Světlá tabulka s mřížkou 1 – zvýraznění 11"/>
    <w:basedOn w:val="Normlntabulka"/>
    <w:uiPriority w:val="46"/>
    <w:rsid w:val="00470893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Zhlav">
    <w:name w:val="header"/>
    <w:basedOn w:val="Normln"/>
    <w:link w:val="ZhlavChar"/>
    <w:uiPriority w:val="99"/>
    <w:unhideWhenUsed/>
    <w:rsid w:val="00012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125C8"/>
  </w:style>
  <w:style w:type="paragraph" w:styleId="Zpat">
    <w:name w:val="footer"/>
    <w:basedOn w:val="Normln"/>
    <w:link w:val="ZpatChar"/>
    <w:uiPriority w:val="99"/>
    <w:unhideWhenUsed/>
    <w:rsid w:val="00012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25C8"/>
  </w:style>
  <w:style w:type="paragraph" w:styleId="Textbubliny">
    <w:name w:val="Balloon Text"/>
    <w:basedOn w:val="Normln"/>
    <w:link w:val="TextbublinyChar"/>
    <w:uiPriority w:val="99"/>
    <w:semiHidden/>
    <w:unhideWhenUsed/>
    <w:rsid w:val="00616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6D4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16D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16D4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16D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16D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16D47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933D0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cpubenchmark.net/high_end_cpu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0F4B8-5CE3-4835-9AA0-5913D6D99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2758</Words>
  <Characters>16273</Characters>
  <Application>Microsoft Office Word</Application>
  <DocSecurity>0</DocSecurity>
  <Lines>135</Lines>
  <Paragraphs>37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18994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2018-10-15T10:04:00Z</dcterms:created>
  <dcterms:modified xsi:type="dcterms:W3CDTF">2018-10-15T11:07:00Z</dcterms:modified>
</cp:coreProperties>
</file>